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2E415">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附件2：</w:t>
      </w:r>
    </w:p>
    <w:p w14:paraId="4EC4EBAB">
      <w:pPr>
        <w:spacing w:line="540" w:lineRule="exact"/>
        <w:jc w:val="center"/>
        <w:rPr>
          <w:rFonts w:hint="eastAsia" w:ascii="华文中宋" w:hAnsi="华文中宋" w:eastAsia="华文中宋" w:cs="宋体"/>
          <w:b/>
          <w:kern w:val="0"/>
          <w:sz w:val="52"/>
          <w:szCs w:val="52"/>
        </w:rPr>
      </w:pPr>
    </w:p>
    <w:p w14:paraId="7391EAA4">
      <w:pPr>
        <w:spacing w:line="540" w:lineRule="exact"/>
        <w:jc w:val="center"/>
        <w:rPr>
          <w:rFonts w:hint="eastAsia" w:ascii="华文中宋" w:hAnsi="华文中宋" w:eastAsia="华文中宋" w:cs="宋体"/>
          <w:b/>
          <w:kern w:val="0"/>
          <w:sz w:val="52"/>
          <w:szCs w:val="52"/>
        </w:rPr>
      </w:pPr>
    </w:p>
    <w:p w14:paraId="3FE38885">
      <w:pPr>
        <w:spacing w:line="540" w:lineRule="exact"/>
        <w:jc w:val="center"/>
        <w:rPr>
          <w:rFonts w:hint="eastAsia" w:ascii="华文中宋" w:hAnsi="华文中宋" w:eastAsia="华文中宋" w:cs="宋体"/>
          <w:b/>
          <w:kern w:val="0"/>
          <w:sz w:val="52"/>
          <w:szCs w:val="52"/>
        </w:rPr>
      </w:pPr>
    </w:p>
    <w:p w14:paraId="16F9225F">
      <w:pPr>
        <w:spacing w:line="540" w:lineRule="exact"/>
        <w:jc w:val="center"/>
        <w:rPr>
          <w:rFonts w:hint="eastAsia" w:ascii="华文中宋" w:hAnsi="华文中宋" w:eastAsia="华文中宋" w:cs="宋体"/>
          <w:b/>
          <w:kern w:val="0"/>
          <w:sz w:val="52"/>
          <w:szCs w:val="52"/>
        </w:rPr>
      </w:pPr>
    </w:p>
    <w:p w14:paraId="6EA857FF">
      <w:pPr>
        <w:spacing w:line="540" w:lineRule="exact"/>
        <w:jc w:val="center"/>
        <w:rPr>
          <w:rFonts w:hint="eastAsia" w:ascii="华文中宋" w:hAnsi="华文中宋" w:eastAsia="华文中宋" w:cs="宋体"/>
          <w:b/>
          <w:kern w:val="0"/>
          <w:sz w:val="52"/>
          <w:szCs w:val="52"/>
        </w:rPr>
      </w:pPr>
    </w:p>
    <w:p w14:paraId="4B44C866">
      <w:pPr>
        <w:spacing w:line="540" w:lineRule="exact"/>
        <w:jc w:val="center"/>
        <w:rPr>
          <w:rFonts w:hint="eastAsia" w:ascii="华文中宋" w:hAnsi="华文中宋" w:eastAsia="华文中宋" w:cs="宋体"/>
          <w:b/>
          <w:kern w:val="0"/>
          <w:sz w:val="52"/>
          <w:szCs w:val="52"/>
        </w:rPr>
      </w:pPr>
    </w:p>
    <w:p w14:paraId="28C8C726">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98CCB55">
      <w:pPr>
        <w:spacing w:line="540" w:lineRule="exact"/>
        <w:jc w:val="center"/>
        <w:rPr>
          <w:rFonts w:hint="eastAsia" w:ascii="华文中宋" w:hAnsi="华文中宋" w:eastAsia="华文中宋" w:cs="宋体"/>
          <w:b/>
          <w:kern w:val="0"/>
          <w:sz w:val="52"/>
          <w:szCs w:val="52"/>
        </w:rPr>
      </w:pPr>
    </w:p>
    <w:p w14:paraId="69613D24">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1"/>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52736FEF">
      <w:pPr>
        <w:spacing w:line="540" w:lineRule="exact"/>
        <w:jc w:val="center"/>
        <w:rPr>
          <w:rFonts w:hint="eastAsia" w:hAnsi="宋体" w:eastAsia="仿宋_GB2312" w:cs="宋体"/>
          <w:kern w:val="0"/>
          <w:sz w:val="30"/>
          <w:szCs w:val="30"/>
        </w:rPr>
      </w:pPr>
    </w:p>
    <w:p w14:paraId="319A0635">
      <w:pPr>
        <w:spacing w:line="540" w:lineRule="exact"/>
        <w:jc w:val="center"/>
        <w:rPr>
          <w:rFonts w:hint="eastAsia" w:hAnsi="宋体" w:eastAsia="仿宋_GB2312" w:cs="宋体"/>
          <w:kern w:val="0"/>
          <w:sz w:val="30"/>
          <w:szCs w:val="30"/>
        </w:rPr>
      </w:pPr>
    </w:p>
    <w:p w14:paraId="7CECE5AF">
      <w:pPr>
        <w:spacing w:line="540" w:lineRule="exact"/>
        <w:jc w:val="center"/>
        <w:rPr>
          <w:rFonts w:hint="eastAsia" w:hAnsi="宋体" w:eastAsia="仿宋_GB2312" w:cs="宋体"/>
          <w:kern w:val="0"/>
          <w:sz w:val="30"/>
          <w:szCs w:val="30"/>
        </w:rPr>
      </w:pPr>
    </w:p>
    <w:p w14:paraId="273460E3">
      <w:pPr>
        <w:spacing w:line="540" w:lineRule="exact"/>
        <w:jc w:val="center"/>
        <w:rPr>
          <w:rFonts w:hint="eastAsia" w:hAnsi="宋体" w:eastAsia="仿宋_GB2312" w:cs="宋体"/>
          <w:kern w:val="0"/>
          <w:sz w:val="30"/>
          <w:szCs w:val="30"/>
        </w:rPr>
      </w:pPr>
    </w:p>
    <w:p w14:paraId="1F75B71D">
      <w:pPr>
        <w:spacing w:line="540" w:lineRule="exact"/>
        <w:jc w:val="center"/>
        <w:rPr>
          <w:rFonts w:hint="eastAsia" w:hAnsi="宋体" w:eastAsia="仿宋_GB2312" w:cs="宋体"/>
          <w:kern w:val="0"/>
          <w:sz w:val="30"/>
          <w:szCs w:val="30"/>
        </w:rPr>
      </w:pPr>
    </w:p>
    <w:p w14:paraId="01FE946D">
      <w:pPr>
        <w:spacing w:line="540" w:lineRule="exact"/>
        <w:jc w:val="center"/>
        <w:rPr>
          <w:rFonts w:hint="eastAsia" w:hAnsi="宋体" w:eastAsia="仿宋_GB2312" w:cs="宋体"/>
          <w:kern w:val="0"/>
          <w:sz w:val="30"/>
          <w:szCs w:val="30"/>
        </w:rPr>
      </w:pPr>
    </w:p>
    <w:p w14:paraId="35D2CFA9">
      <w:pPr>
        <w:spacing w:line="700" w:lineRule="exact"/>
        <w:jc w:val="left"/>
        <w:rPr>
          <w:rFonts w:hint="eastAsia" w:hAnsi="宋体" w:eastAsia="仿宋_GB2312" w:cs="宋体"/>
          <w:kern w:val="0"/>
          <w:sz w:val="36"/>
          <w:szCs w:val="36"/>
        </w:rPr>
      </w:pPr>
    </w:p>
    <w:p w14:paraId="737561F4">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1"/>
          <w:rFonts w:hint="eastAsia" w:ascii="楷体" w:hAnsi="楷体" w:eastAsia="楷体"/>
          <w:spacing w:val="-4"/>
          <w:sz w:val="28"/>
          <w:szCs w:val="28"/>
          <w:lang w:eastAsia="zh-CN"/>
        </w:rPr>
        <w:t>2</w:t>
      </w:r>
      <w:r>
        <w:rPr>
          <w:rStyle w:val="11"/>
          <w:rFonts w:hint="eastAsia" w:ascii="楷体" w:hAnsi="楷体" w:eastAsia="楷体"/>
          <w:spacing w:val="-4"/>
          <w:sz w:val="28"/>
          <w:szCs w:val="28"/>
          <w:lang w:eastAsia="zh-CN"/>
        </w:rPr>
        <w:t>023年审计局包联帮扶村乌克勒别依特村为民办实事经费</w:t>
      </w:r>
    </w:p>
    <w:p w14:paraId="793BCC7E">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1"/>
          <w:rFonts w:hint="eastAsia" w:ascii="楷体" w:hAnsi="楷体" w:eastAsia="楷体"/>
          <w:spacing w:val="-4"/>
          <w:sz w:val="28"/>
          <w:szCs w:val="28"/>
          <w:lang w:eastAsia="zh-CN"/>
        </w:rPr>
        <w:t>木垒</w:t>
      </w:r>
      <w:r>
        <w:rPr>
          <w:rStyle w:val="11"/>
          <w:rFonts w:hint="eastAsia" w:ascii="楷体" w:hAnsi="楷体" w:eastAsia="楷体"/>
          <w:spacing w:val="-4"/>
          <w:sz w:val="28"/>
          <w:szCs w:val="28"/>
        </w:rPr>
        <w:t>县</w:t>
      </w:r>
      <w:r>
        <w:rPr>
          <w:rStyle w:val="11"/>
          <w:rFonts w:hint="eastAsia" w:ascii="楷体" w:hAnsi="楷体" w:eastAsia="楷体"/>
          <w:spacing w:val="-4"/>
          <w:sz w:val="28"/>
          <w:szCs w:val="28"/>
          <w:lang w:eastAsia="zh-CN"/>
        </w:rPr>
        <w:t>审计</w:t>
      </w:r>
      <w:r>
        <w:rPr>
          <w:rStyle w:val="11"/>
          <w:rFonts w:hint="eastAsia" w:ascii="楷体" w:hAnsi="楷体" w:eastAsia="楷体"/>
          <w:spacing w:val="-4"/>
          <w:sz w:val="28"/>
          <w:szCs w:val="28"/>
        </w:rPr>
        <w:t>局</w:t>
      </w:r>
    </w:p>
    <w:p w14:paraId="0620EB8C">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1"/>
          <w:rFonts w:hint="eastAsia" w:ascii="楷体" w:hAnsi="楷体" w:eastAsia="楷体"/>
          <w:spacing w:val="-4"/>
          <w:sz w:val="28"/>
          <w:szCs w:val="28"/>
          <w:lang w:eastAsia="zh-CN"/>
        </w:rPr>
        <w:t>木垒</w:t>
      </w:r>
      <w:r>
        <w:rPr>
          <w:rStyle w:val="11"/>
          <w:rFonts w:hint="eastAsia" w:ascii="楷体" w:hAnsi="楷体" w:eastAsia="楷体"/>
          <w:spacing w:val="-4"/>
          <w:sz w:val="28"/>
          <w:szCs w:val="28"/>
        </w:rPr>
        <w:t>县</w:t>
      </w:r>
      <w:r>
        <w:rPr>
          <w:rStyle w:val="11"/>
          <w:rFonts w:hint="eastAsia" w:ascii="楷体" w:hAnsi="楷体" w:eastAsia="楷体"/>
          <w:spacing w:val="-4"/>
          <w:sz w:val="28"/>
          <w:szCs w:val="28"/>
          <w:lang w:eastAsia="zh-CN"/>
        </w:rPr>
        <w:t>审计</w:t>
      </w:r>
      <w:r>
        <w:rPr>
          <w:rStyle w:val="11"/>
          <w:rFonts w:hint="eastAsia" w:ascii="楷体" w:hAnsi="楷体" w:eastAsia="楷体"/>
          <w:spacing w:val="-4"/>
          <w:sz w:val="28"/>
          <w:szCs w:val="28"/>
        </w:rPr>
        <w:t>局</w:t>
      </w:r>
    </w:p>
    <w:p w14:paraId="37F91162">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1"/>
          <w:rFonts w:hint="eastAsia" w:ascii="楷体" w:hAnsi="楷体" w:eastAsia="楷体"/>
          <w:spacing w:val="-4"/>
          <w:sz w:val="32"/>
          <w:szCs w:val="32"/>
        </w:rPr>
        <w:t>黄瑞</w:t>
      </w:r>
    </w:p>
    <w:p w14:paraId="04774440">
      <w:pPr>
        <w:spacing w:line="540" w:lineRule="exact"/>
        <w:ind w:left="273" w:firstLine="567"/>
        <w:rPr>
          <w:rFonts w:hint="eastAsia" w:ascii="仿宋_GB2312" w:hAnsi="黑体"/>
          <w:b w:val="0"/>
          <w:bCs w:val="0"/>
          <w:color w:val="auto"/>
          <w:highlight w:val="none"/>
        </w:rPr>
      </w:pPr>
      <w:r>
        <w:rPr>
          <w:rFonts w:hint="eastAsia" w:hAnsi="宋体" w:eastAsia="仿宋_GB2312" w:cs="宋体"/>
          <w:kern w:val="0"/>
          <w:sz w:val="36"/>
          <w:szCs w:val="36"/>
        </w:rPr>
        <w:t>填报时间：</w:t>
      </w:r>
      <w:r>
        <w:rPr>
          <w:rStyle w:val="11"/>
          <w:rFonts w:hint="eastAsia" w:ascii="楷体" w:hAnsi="楷体" w:eastAsia="楷体"/>
          <w:spacing w:val="-4"/>
          <w:sz w:val="32"/>
          <w:szCs w:val="32"/>
        </w:rPr>
        <w:t>2024年0</w:t>
      </w:r>
      <w:r>
        <w:rPr>
          <w:rStyle w:val="11"/>
          <w:rFonts w:hint="eastAsia" w:ascii="楷体" w:hAnsi="楷体" w:eastAsia="楷体"/>
          <w:spacing w:val="-4"/>
          <w:sz w:val="32"/>
          <w:szCs w:val="32"/>
          <w:lang w:val="en-US" w:eastAsia="zh-CN"/>
        </w:rPr>
        <w:t>5</w:t>
      </w:r>
      <w:bookmarkStart w:id="13" w:name="_GoBack"/>
      <w:bookmarkEnd w:id="13"/>
      <w:r>
        <w:rPr>
          <w:rStyle w:val="11"/>
          <w:rFonts w:hint="eastAsia" w:ascii="楷体" w:hAnsi="楷体" w:eastAsia="楷体"/>
          <w:spacing w:val="-4"/>
          <w:sz w:val="32"/>
          <w:szCs w:val="32"/>
        </w:rPr>
        <w:t>月25日</w:t>
      </w:r>
    </w:p>
    <w:p w14:paraId="5411E8F4">
      <w:pPr>
        <w:pStyle w:val="2"/>
        <w:pageBreakBefore w:val="0"/>
        <w:widowControl w:val="0"/>
        <w:kinsoku/>
        <w:wordWrap/>
        <w:overflowPunct/>
        <w:topLinePunct w:val="0"/>
        <w:autoSpaceDE/>
        <w:bidi w:val="0"/>
        <w:spacing w:before="0" w:after="0" w:line="560" w:lineRule="exact"/>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一、基本情况</w:t>
      </w:r>
    </w:p>
    <w:p w14:paraId="7C144828">
      <w:pPr>
        <w:pStyle w:val="3"/>
        <w:pageBreakBefore w:val="0"/>
        <w:widowControl w:val="0"/>
        <w:kinsoku/>
        <w:wordWrap/>
        <w:overflowPunct/>
        <w:topLinePunct w:val="0"/>
        <w:autoSpaceDE/>
        <w:bidi w:val="0"/>
        <w:spacing w:before="0" w:after="0" w:line="560" w:lineRule="exact"/>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rPr>
        <w:t>（一）项目概况</w:t>
      </w:r>
    </w:p>
    <w:p w14:paraId="7C441118">
      <w:pPr>
        <w:pageBreakBefore w:val="0"/>
        <w:widowControl w:val="0"/>
        <w:kinsoku/>
        <w:wordWrap/>
        <w:overflowPunct/>
        <w:topLinePunct w:val="0"/>
        <w:autoSpaceDE/>
        <w:bidi w:val="0"/>
        <w:spacing w:line="560" w:lineRule="exact"/>
        <w:ind w:firstLine="643" w:firstLineChars="200"/>
        <w:rPr>
          <w:rFonts w:hint="eastAsia" w:ascii="仿宋_GB2312" w:hAnsi="黑体"/>
          <w:b/>
          <w:bCs/>
          <w:color w:val="auto"/>
          <w:sz w:val="32"/>
          <w:szCs w:val="32"/>
          <w:highlight w:val="none"/>
        </w:rPr>
      </w:pPr>
      <w:r>
        <w:rPr>
          <w:rFonts w:hint="eastAsia" w:ascii="仿宋_GB2312" w:hAnsi="黑体"/>
          <w:b/>
          <w:bCs/>
          <w:color w:val="auto"/>
          <w:sz w:val="32"/>
          <w:szCs w:val="32"/>
          <w:highlight w:val="none"/>
        </w:rPr>
        <w:t>1.项目背景</w:t>
      </w:r>
    </w:p>
    <w:p w14:paraId="1B03331E">
      <w:pPr>
        <w:pageBreakBefore w:val="0"/>
        <w:widowControl w:val="0"/>
        <w:kinsoku/>
        <w:wordWrap/>
        <w:overflowPunct/>
        <w:topLinePunct w:val="0"/>
        <w:autoSpaceDE/>
        <w:bidi w:val="0"/>
        <w:spacing w:line="560" w:lineRule="exact"/>
        <w:ind w:firstLine="640" w:firstLineChars="200"/>
        <w:rPr>
          <w:rFonts w:hint="eastAsia" w:ascii="仿宋_GB2312" w:hAnsi="黑体"/>
          <w:color w:val="auto"/>
          <w:sz w:val="32"/>
          <w:szCs w:val="32"/>
          <w:highlight w:val="none"/>
        </w:rPr>
      </w:pPr>
      <w:r>
        <w:rPr>
          <w:rFonts w:hint="eastAsia" w:ascii="仿宋_GB2312" w:hAnsi="黑体"/>
          <w:color w:val="auto"/>
          <w:sz w:val="32"/>
          <w:szCs w:val="32"/>
          <w:highlight w:val="none"/>
        </w:rPr>
        <w:t>为了进一步夯实基层基础，促进村级组织依法有效履行职能，建立健全“资金稳定、管理规范、责任明晰、保障有力”的村级组织运转经费保障机制，根据昌州财预【2023】16号立项，文件明确列入规划的村级组织运转保障经费是为了保障村级组织正常开展日常工作设立的资金，</w:t>
      </w:r>
      <w:r>
        <w:rPr>
          <w:rFonts w:hint="eastAsia" w:ascii="仿宋_GB2312" w:hAnsi="黑体"/>
          <w:color w:val="auto"/>
          <w:sz w:val="32"/>
          <w:szCs w:val="32"/>
          <w:highlight w:val="none"/>
          <w:lang w:eastAsia="zh-CN"/>
        </w:rPr>
        <w:t>由木垒县审计局主管，资金主要用于</w:t>
      </w:r>
      <w:r>
        <w:rPr>
          <w:rFonts w:hint="eastAsia" w:ascii="仿宋_GB2312" w:hAnsi="黑体"/>
          <w:color w:val="auto"/>
          <w:sz w:val="32"/>
          <w:szCs w:val="32"/>
          <w:highlight w:val="none"/>
        </w:rPr>
        <w:t>走访慰问人数30人，为民办实事件，组织群众参观学习。我单位坚持“服务功能最大化、办公功能最小化”的原则，和乌克勒别依特村充分交通沟通，研究落实项目资金，2023年度帮扶乌克勒别依特村开展园林绿化项目，建设绿色养心村道；慰问退伍军人、老党员、残疾人群，每人发放大米、花生油、面粉各一袋；打造符合村民意愿的“石榴籽服务站”文化墙、展板，营造浓厚的宣传氛围。</w:t>
      </w:r>
    </w:p>
    <w:p w14:paraId="45239815">
      <w:pPr>
        <w:pageBreakBefore w:val="0"/>
        <w:widowControl w:val="0"/>
        <w:kinsoku/>
        <w:wordWrap/>
        <w:overflowPunct/>
        <w:topLinePunct w:val="0"/>
        <w:autoSpaceDE/>
        <w:bidi w:val="0"/>
        <w:spacing w:line="560" w:lineRule="exact"/>
        <w:ind w:firstLine="643" w:firstLineChars="200"/>
        <w:rPr>
          <w:rFonts w:ascii="仿宋_GB2312" w:hAnsi="黑体"/>
          <w:b/>
          <w:bCs/>
          <w:color w:val="auto"/>
          <w:sz w:val="32"/>
          <w:szCs w:val="32"/>
          <w:highlight w:val="none"/>
        </w:rPr>
      </w:pPr>
      <w:r>
        <w:rPr>
          <w:rFonts w:hint="eastAsia" w:ascii="仿宋_GB2312" w:hAnsi="黑体"/>
          <w:b/>
          <w:bCs/>
          <w:color w:val="auto"/>
          <w:sz w:val="32"/>
          <w:szCs w:val="32"/>
          <w:highlight w:val="none"/>
        </w:rPr>
        <w:t>2.项目主要内容</w:t>
      </w:r>
    </w:p>
    <w:p w14:paraId="30522DE3">
      <w:pPr>
        <w:pageBreakBefore w:val="0"/>
        <w:widowControl w:val="0"/>
        <w:kinsoku/>
        <w:wordWrap/>
        <w:overflowPunct/>
        <w:topLinePunct w:val="0"/>
        <w:autoSpaceDE/>
        <w:bidi w:val="0"/>
        <w:spacing w:line="560" w:lineRule="exact"/>
        <w:rPr>
          <w:rFonts w:ascii="仿宋_GB2312" w:hAnsi="黑体"/>
          <w:color w:val="auto"/>
          <w:sz w:val="32"/>
          <w:szCs w:val="32"/>
          <w:highlight w:val="none"/>
        </w:rPr>
      </w:pPr>
      <w:r>
        <w:rPr>
          <w:rFonts w:hint="eastAsia" w:ascii="仿宋_GB2312" w:hAnsi="黑体"/>
          <w:color w:val="auto"/>
          <w:sz w:val="32"/>
          <w:szCs w:val="32"/>
          <w:highlight w:val="none"/>
        </w:rPr>
        <w:t>经费类、补助项目模板（此类费用主要围绕单位职能、补助对象和人数进行编写）</w:t>
      </w:r>
    </w:p>
    <w:p w14:paraId="76A7B8FC">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项目资金主要用于</w:t>
      </w:r>
      <w:r>
        <w:rPr>
          <w:rFonts w:hint="eastAsia" w:ascii="仿宋_GB2312" w:hAnsi="黑体"/>
          <w:color w:val="auto"/>
          <w:sz w:val="32"/>
          <w:szCs w:val="32"/>
          <w:highlight w:val="none"/>
          <w:lang w:val="en-US" w:eastAsia="zh-CN"/>
        </w:rPr>
        <w:t>2023</w:t>
      </w:r>
      <w:r>
        <w:rPr>
          <w:rFonts w:hint="eastAsia" w:ascii="仿宋_GB2312" w:hAnsi="黑体"/>
          <w:color w:val="auto"/>
          <w:sz w:val="32"/>
          <w:szCs w:val="32"/>
          <w:highlight w:val="none"/>
        </w:rPr>
        <w:t>年审计局包联帮扶村</w:t>
      </w:r>
      <w:r>
        <w:rPr>
          <w:rFonts w:hint="eastAsia" w:ascii="仿宋_GB2312" w:hAnsi="黑体"/>
          <w:color w:val="auto"/>
          <w:sz w:val="32"/>
          <w:szCs w:val="32"/>
          <w:highlight w:val="none"/>
          <w:lang w:val="en-US" w:eastAsia="zh-CN"/>
        </w:rPr>
        <w:t>-</w:t>
      </w:r>
      <w:r>
        <w:rPr>
          <w:rFonts w:hint="eastAsia" w:ascii="仿宋_GB2312" w:hAnsi="黑体"/>
          <w:color w:val="auto"/>
          <w:sz w:val="32"/>
          <w:szCs w:val="32"/>
          <w:highlight w:val="none"/>
        </w:rPr>
        <w:t>乌克勒别依特村为民办实事经费工作经费支出，保障木垒县审计局</w:t>
      </w:r>
      <w:r>
        <w:rPr>
          <w:rFonts w:hint="eastAsia" w:ascii="仿宋_GB2312" w:hAnsi="黑体"/>
          <w:color w:val="auto"/>
          <w:sz w:val="32"/>
          <w:szCs w:val="32"/>
          <w:highlight w:val="none"/>
          <w:lang w:eastAsia="zh-CN"/>
        </w:rPr>
        <w:t>包联</w:t>
      </w:r>
      <w:r>
        <w:rPr>
          <w:rFonts w:hint="eastAsia" w:ascii="仿宋_GB2312" w:hAnsi="黑体"/>
          <w:color w:val="auto"/>
          <w:sz w:val="32"/>
          <w:szCs w:val="32"/>
          <w:highlight w:val="none"/>
        </w:rPr>
        <w:t>帮扶村</w:t>
      </w:r>
      <w:r>
        <w:rPr>
          <w:rFonts w:hint="eastAsia" w:ascii="仿宋_GB2312" w:hAnsi="黑体"/>
          <w:color w:val="auto"/>
          <w:sz w:val="32"/>
          <w:szCs w:val="32"/>
          <w:highlight w:val="none"/>
          <w:lang w:eastAsia="zh-CN"/>
        </w:rPr>
        <w:t>乌克勒别依特</w:t>
      </w:r>
      <w:r>
        <w:rPr>
          <w:rFonts w:hint="eastAsia" w:ascii="仿宋_GB2312" w:hAnsi="黑体"/>
          <w:color w:val="auto"/>
          <w:sz w:val="32"/>
          <w:szCs w:val="32"/>
          <w:highlight w:val="none"/>
        </w:rPr>
        <w:t>2023年度工作正常推进，完成</w:t>
      </w:r>
      <w:r>
        <w:rPr>
          <w:rFonts w:hint="eastAsia" w:ascii="仿宋_GB2312" w:hAnsi="黑体"/>
          <w:color w:val="auto"/>
          <w:sz w:val="32"/>
          <w:szCs w:val="32"/>
          <w:highlight w:val="none"/>
          <w:lang w:eastAsia="zh-CN"/>
        </w:rPr>
        <w:t>木垒县审计局</w:t>
      </w:r>
      <w:r>
        <w:rPr>
          <w:rFonts w:hint="eastAsia" w:ascii="仿宋_GB2312" w:hAnsi="黑体"/>
          <w:color w:val="auto"/>
          <w:sz w:val="32"/>
          <w:szCs w:val="32"/>
          <w:highlight w:val="none"/>
          <w:lang w:val="en-US" w:eastAsia="zh-CN"/>
        </w:rPr>
        <w:t>2023</w:t>
      </w:r>
      <w:r>
        <w:rPr>
          <w:rFonts w:hint="eastAsia" w:ascii="仿宋_GB2312" w:hAnsi="黑体"/>
          <w:color w:val="auto"/>
          <w:sz w:val="32"/>
          <w:szCs w:val="32"/>
          <w:highlight w:val="none"/>
        </w:rPr>
        <w:t>年度包联帮扶工作组各项任务</w:t>
      </w:r>
      <w:r>
        <w:rPr>
          <w:rFonts w:hint="eastAsia" w:ascii="仿宋_GB2312" w:hAnsi="黑体"/>
          <w:color w:val="auto"/>
          <w:sz w:val="32"/>
          <w:szCs w:val="32"/>
          <w:highlight w:val="none"/>
          <w:lang w:eastAsia="zh-CN"/>
        </w:rPr>
        <w:t>，任务包括</w:t>
      </w:r>
      <w:r>
        <w:rPr>
          <w:rFonts w:hint="eastAsia" w:ascii="仿宋_GB2312" w:hAnsi="黑体"/>
          <w:color w:val="auto"/>
          <w:sz w:val="32"/>
          <w:szCs w:val="32"/>
          <w:highlight w:val="none"/>
        </w:rPr>
        <w:t>：2023年我单位帮助包联帮扶村发展庭院经济、村庄绿化管道铺设项目，购买0.6PE管材、租赁挖掘机、雇佣临时工、购买配件共计12500元；开展“送温暖、办实事、促和谐”慰问活动，慰问退伍老兵、老党员、残疾人员、村“两委”成员，购买米面清油共计6250元；保障乌克勒别依特村基本办公，购买办公用品6250元；改善农村人居环境、保障村民安全出行修缮村村道田间道路共计12500元；为开展“雀仁乡“多彩牧区·最甜雀仁乡农产品展销会美食节””搭建大舞台，6250元；打造“石榴籽服务站”广告牌、文化墙共计6250元。</w:t>
      </w:r>
    </w:p>
    <w:p w14:paraId="0ECD1E58">
      <w:pPr>
        <w:pageBreakBefore w:val="0"/>
        <w:widowControl w:val="0"/>
        <w:numPr>
          <w:ilvl w:val="0"/>
          <w:numId w:val="0"/>
        </w:numPr>
        <w:kinsoku/>
        <w:wordWrap/>
        <w:overflowPunct/>
        <w:topLinePunct w:val="0"/>
        <w:autoSpaceDE/>
        <w:bidi w:val="0"/>
        <w:spacing w:line="560" w:lineRule="exact"/>
        <w:ind w:firstLine="643" w:firstLineChars="200"/>
        <w:rPr>
          <w:rFonts w:hint="eastAsia" w:ascii="仿宋_GB2312" w:hAnsi="黑体"/>
          <w:b/>
          <w:bCs/>
          <w:color w:val="auto"/>
          <w:sz w:val="32"/>
          <w:szCs w:val="32"/>
          <w:highlight w:val="none"/>
        </w:rPr>
      </w:pPr>
      <w:r>
        <w:rPr>
          <w:rFonts w:hint="eastAsia" w:ascii="仿宋_GB2312" w:hAnsi="黑体"/>
          <w:b/>
          <w:bCs/>
          <w:color w:val="auto"/>
          <w:sz w:val="32"/>
          <w:szCs w:val="32"/>
          <w:highlight w:val="none"/>
          <w:lang w:val="en-US" w:eastAsia="zh-CN"/>
        </w:rPr>
        <w:t>3.</w:t>
      </w:r>
      <w:r>
        <w:rPr>
          <w:rFonts w:hint="eastAsia" w:ascii="仿宋_GB2312" w:hAnsi="黑体"/>
          <w:b/>
          <w:bCs/>
          <w:color w:val="auto"/>
          <w:sz w:val="32"/>
          <w:szCs w:val="32"/>
          <w:highlight w:val="none"/>
        </w:rPr>
        <w:t>项目实施情况</w:t>
      </w:r>
    </w:p>
    <w:p w14:paraId="11171D76">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自</w:t>
      </w:r>
      <w:r>
        <w:rPr>
          <w:rFonts w:hint="eastAsia" w:ascii="仿宋_GB2312" w:hAnsi="黑体"/>
          <w:color w:val="auto"/>
          <w:sz w:val="32"/>
          <w:szCs w:val="32"/>
          <w:highlight w:val="none"/>
          <w:lang w:val="en-US" w:eastAsia="zh-CN"/>
        </w:rPr>
        <w:t>2023</w:t>
      </w:r>
      <w:r>
        <w:rPr>
          <w:rFonts w:hint="eastAsia" w:ascii="仿宋_GB2312" w:hAnsi="黑体"/>
          <w:color w:val="auto"/>
          <w:sz w:val="32"/>
          <w:szCs w:val="32"/>
          <w:highlight w:val="none"/>
        </w:rPr>
        <w:t>年</w:t>
      </w:r>
      <w:r>
        <w:rPr>
          <w:rFonts w:hint="eastAsia" w:ascii="仿宋_GB2312" w:hAnsi="黑体"/>
          <w:color w:val="auto"/>
          <w:sz w:val="32"/>
          <w:szCs w:val="32"/>
          <w:highlight w:val="none"/>
          <w:lang w:val="en-US" w:eastAsia="zh-CN"/>
        </w:rPr>
        <w:t>5</w:t>
      </w:r>
      <w:r>
        <w:rPr>
          <w:rFonts w:hint="eastAsia" w:ascii="仿宋_GB2312" w:hAnsi="黑体"/>
          <w:color w:val="auto"/>
          <w:sz w:val="32"/>
          <w:szCs w:val="32"/>
          <w:highlight w:val="none"/>
        </w:rPr>
        <w:t>月开始</w:t>
      </w:r>
      <w:r>
        <w:rPr>
          <w:rFonts w:hint="eastAsia" w:ascii="仿宋_GB2312" w:hAnsi="黑体"/>
          <w:color w:val="auto"/>
          <w:sz w:val="32"/>
          <w:szCs w:val="32"/>
          <w:highlight w:val="none"/>
          <w:lang w:eastAsia="zh-CN"/>
        </w:rPr>
        <w:t>截止</w:t>
      </w:r>
      <w:r>
        <w:rPr>
          <w:rFonts w:hint="eastAsia" w:ascii="仿宋_GB2312" w:hAnsi="黑体"/>
          <w:color w:val="auto"/>
          <w:sz w:val="32"/>
          <w:szCs w:val="32"/>
          <w:highlight w:val="none"/>
          <w:lang w:val="en-US" w:eastAsia="zh-CN"/>
        </w:rPr>
        <w:t>2023年12月</w:t>
      </w:r>
      <w:r>
        <w:rPr>
          <w:rFonts w:hint="eastAsia" w:ascii="仿宋_GB2312" w:hAnsi="黑体"/>
          <w:color w:val="auto"/>
          <w:sz w:val="32"/>
          <w:szCs w:val="32"/>
          <w:highlight w:val="none"/>
        </w:rPr>
        <w:t>，</w:t>
      </w:r>
      <w:r>
        <w:rPr>
          <w:rFonts w:hint="eastAsia" w:ascii="仿宋_GB2312" w:hAnsi="黑体"/>
          <w:color w:val="auto"/>
          <w:sz w:val="32"/>
          <w:szCs w:val="32"/>
          <w:highlight w:val="none"/>
          <w:lang w:eastAsia="zh-CN"/>
        </w:rPr>
        <w:t>木垒县审计局</w:t>
      </w:r>
      <w:r>
        <w:rPr>
          <w:rFonts w:hint="eastAsia" w:ascii="仿宋_GB2312" w:hAnsi="黑体"/>
          <w:color w:val="auto"/>
          <w:sz w:val="32"/>
          <w:szCs w:val="32"/>
          <w:highlight w:val="none"/>
        </w:rPr>
        <w:t>已完成</w:t>
      </w:r>
      <w:r>
        <w:rPr>
          <w:rFonts w:hint="eastAsia" w:ascii="仿宋_GB2312" w:hAnsi="黑体"/>
          <w:color w:val="auto"/>
          <w:sz w:val="32"/>
          <w:szCs w:val="32"/>
          <w:highlight w:val="none"/>
          <w:lang w:eastAsia="zh-CN"/>
        </w:rPr>
        <w:t>本年度包联帮扶</w:t>
      </w:r>
      <w:r>
        <w:rPr>
          <w:rFonts w:hint="eastAsia" w:ascii="仿宋_GB2312" w:hAnsi="黑体"/>
          <w:color w:val="auto"/>
          <w:sz w:val="32"/>
          <w:szCs w:val="32"/>
          <w:highlight w:val="none"/>
        </w:rPr>
        <w:t>工作</w:t>
      </w:r>
      <w:r>
        <w:rPr>
          <w:rFonts w:hint="eastAsia" w:ascii="仿宋_GB2312" w:hAnsi="黑体"/>
          <w:color w:val="auto"/>
          <w:sz w:val="32"/>
          <w:szCs w:val="32"/>
          <w:highlight w:val="none"/>
          <w:lang w:eastAsia="zh-CN"/>
        </w:rPr>
        <w:t>任务：</w:t>
      </w:r>
      <w:r>
        <w:rPr>
          <w:rFonts w:hint="eastAsia" w:ascii="仿宋_GB2312" w:hAnsi="黑体"/>
          <w:color w:val="auto"/>
          <w:sz w:val="32"/>
          <w:szCs w:val="32"/>
          <w:highlight w:val="none"/>
        </w:rPr>
        <w:t>2023年我单位帮助包联帮扶村发展庭院经济、村庄绿化管道铺设项目，购买0.6PE管材、租赁挖掘机、雇佣临时工、购买配件共计12500元；开展“送温暖、办实事、促和谐”慰问活动，慰问退伍老兵、老党员、残疾人员、村“两委”成员，购买米面清油共计6250元；保障乌克勒别依特村基本办公，购买办公用品6250元；改善农村人居环境、保障村民安全出行修缮村村道田间道路共计12500元；为开展“雀仁乡“多彩牧区·最甜雀仁乡农产品展销会美食节””搭建大舞台，6250元；打造“石榴籽服务站”广告牌、文化墙共计6250元。</w:t>
      </w:r>
    </w:p>
    <w:p w14:paraId="5865F6FD">
      <w:pPr>
        <w:pageBreakBefore w:val="0"/>
        <w:widowControl w:val="0"/>
        <w:numPr>
          <w:ilvl w:val="0"/>
          <w:numId w:val="0"/>
        </w:numPr>
        <w:kinsoku/>
        <w:wordWrap/>
        <w:overflowPunct/>
        <w:topLinePunct w:val="0"/>
        <w:autoSpaceDE/>
        <w:bidi w:val="0"/>
        <w:spacing w:line="560" w:lineRule="exact"/>
        <w:ind w:firstLine="602" w:firstLineChars="200"/>
        <w:rPr>
          <w:rFonts w:hint="eastAsia" w:ascii="仿宋_GB2312" w:hAnsi="黑体"/>
          <w:b/>
          <w:bCs/>
          <w:color w:val="auto"/>
          <w:highlight w:val="none"/>
        </w:rPr>
      </w:pPr>
      <w:r>
        <w:rPr>
          <w:rFonts w:hint="eastAsia" w:ascii="仿宋_GB2312" w:hAnsi="黑体"/>
          <w:b/>
          <w:bCs/>
          <w:color w:val="auto"/>
          <w:highlight w:val="none"/>
          <w:lang w:val="en-US" w:eastAsia="zh-CN"/>
        </w:rPr>
        <w:t>4.</w:t>
      </w:r>
      <w:r>
        <w:rPr>
          <w:rFonts w:hint="eastAsia" w:ascii="仿宋_GB2312" w:hAnsi="黑体"/>
          <w:b/>
          <w:bCs/>
          <w:color w:val="auto"/>
          <w:highlight w:val="none"/>
        </w:rPr>
        <w:t>资金投入和使用情况</w:t>
      </w:r>
    </w:p>
    <w:p w14:paraId="3B082D85">
      <w:pPr>
        <w:pageBreakBefore w:val="0"/>
        <w:widowControl w:val="0"/>
        <w:numPr>
          <w:ilvl w:val="0"/>
          <w:numId w:val="0"/>
        </w:numPr>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2023年审计局包联帮扶村乌克勒别依特村为民办实事经费项目资金于</w:t>
      </w:r>
      <w:r>
        <w:rPr>
          <w:rFonts w:hint="eastAsia" w:ascii="仿宋_GB2312" w:hAnsi="黑体"/>
          <w:color w:val="auto"/>
          <w:sz w:val="32"/>
          <w:szCs w:val="32"/>
          <w:highlight w:val="none"/>
          <w:lang w:val="en-US" w:eastAsia="zh-CN"/>
        </w:rPr>
        <w:t>2023</w:t>
      </w:r>
      <w:r>
        <w:rPr>
          <w:rFonts w:hint="eastAsia" w:ascii="仿宋_GB2312" w:hAnsi="黑体"/>
          <w:color w:val="auto"/>
          <w:sz w:val="32"/>
          <w:szCs w:val="32"/>
          <w:highlight w:val="none"/>
        </w:rPr>
        <w:t>年</w:t>
      </w:r>
      <w:r>
        <w:rPr>
          <w:rFonts w:hint="eastAsia" w:ascii="仿宋_GB2312" w:hAnsi="黑体"/>
          <w:color w:val="auto"/>
          <w:sz w:val="32"/>
          <w:szCs w:val="32"/>
          <w:highlight w:val="none"/>
          <w:lang w:val="en-US" w:eastAsia="zh-CN"/>
        </w:rPr>
        <w:t>5</w:t>
      </w:r>
      <w:r>
        <w:rPr>
          <w:rFonts w:hint="eastAsia" w:ascii="仿宋_GB2312" w:hAnsi="黑体"/>
          <w:color w:val="auto"/>
          <w:sz w:val="32"/>
          <w:szCs w:val="32"/>
          <w:highlight w:val="none"/>
        </w:rPr>
        <w:t>月</w:t>
      </w:r>
      <w:r>
        <w:rPr>
          <w:rFonts w:hint="eastAsia" w:ascii="仿宋_GB2312" w:hAnsi="黑体"/>
          <w:color w:val="auto"/>
          <w:sz w:val="32"/>
          <w:szCs w:val="32"/>
          <w:highlight w:val="none"/>
          <w:lang w:val="en-US" w:eastAsia="zh-CN"/>
        </w:rPr>
        <w:t>1</w:t>
      </w:r>
      <w:r>
        <w:rPr>
          <w:rFonts w:hint="eastAsia" w:ascii="仿宋_GB2312" w:hAnsi="黑体"/>
          <w:color w:val="auto"/>
          <w:sz w:val="32"/>
          <w:szCs w:val="32"/>
          <w:highlight w:val="none"/>
        </w:rPr>
        <w:t>日</w:t>
      </w:r>
      <w:r>
        <w:rPr>
          <w:rFonts w:hint="eastAsia" w:ascii="仿宋_GB2312" w:hAnsi="黑体"/>
          <w:color w:val="auto"/>
          <w:sz w:val="32"/>
          <w:szCs w:val="32"/>
          <w:highlight w:val="none"/>
          <w:lang w:eastAsia="zh-CN"/>
        </w:rPr>
        <w:t>昌吉州财政局</w:t>
      </w:r>
      <w:r>
        <w:rPr>
          <w:rFonts w:hint="eastAsia" w:ascii="仿宋_GB2312" w:hAnsi="黑体"/>
          <w:color w:val="auto"/>
          <w:sz w:val="32"/>
          <w:szCs w:val="32"/>
          <w:highlight w:val="none"/>
        </w:rPr>
        <w:t>下发的昌州财预【2023】16号文件安排资金为</w:t>
      </w:r>
      <w:r>
        <w:rPr>
          <w:rFonts w:hint="eastAsia" w:ascii="仿宋_GB2312" w:hAnsi="黑体"/>
          <w:color w:val="auto"/>
          <w:sz w:val="32"/>
          <w:szCs w:val="32"/>
          <w:highlight w:val="none"/>
          <w:lang w:val="en-US" w:eastAsia="zh-CN"/>
        </w:rPr>
        <w:t>5</w:t>
      </w:r>
      <w:r>
        <w:rPr>
          <w:rFonts w:hint="eastAsia" w:ascii="仿宋_GB2312" w:hAnsi="黑体"/>
          <w:color w:val="auto"/>
          <w:sz w:val="32"/>
          <w:szCs w:val="32"/>
          <w:highlight w:val="none"/>
        </w:rPr>
        <w:t>万元，为上级财政资金，实际到位</w:t>
      </w:r>
      <w:r>
        <w:rPr>
          <w:rFonts w:hint="eastAsia" w:ascii="仿宋_GB2312" w:hAnsi="黑体"/>
          <w:color w:val="auto"/>
          <w:sz w:val="32"/>
          <w:szCs w:val="32"/>
          <w:highlight w:val="none"/>
          <w:lang w:val="en-US" w:eastAsia="zh-CN"/>
        </w:rPr>
        <w:t>5</w:t>
      </w:r>
      <w:r>
        <w:rPr>
          <w:rFonts w:hint="eastAsia" w:ascii="仿宋_GB2312" w:hAnsi="黑体"/>
          <w:color w:val="auto"/>
          <w:sz w:val="32"/>
          <w:szCs w:val="32"/>
          <w:highlight w:val="none"/>
        </w:rPr>
        <w:t>万元，资金到位率</w:t>
      </w:r>
      <w:r>
        <w:rPr>
          <w:rFonts w:hint="eastAsia" w:ascii="仿宋_GB2312" w:hAnsi="黑体"/>
          <w:color w:val="auto"/>
          <w:sz w:val="32"/>
          <w:szCs w:val="32"/>
          <w:highlight w:val="none"/>
          <w:lang w:val="en-US" w:eastAsia="zh-CN"/>
        </w:rPr>
        <w:t>100</w:t>
      </w:r>
      <w:r>
        <w:rPr>
          <w:rFonts w:hint="eastAsia" w:ascii="仿宋_GB2312" w:hAnsi="黑体"/>
          <w:color w:val="auto"/>
          <w:sz w:val="32"/>
          <w:szCs w:val="32"/>
          <w:highlight w:val="none"/>
        </w:rPr>
        <w:t>%，实际执行</w:t>
      </w:r>
      <w:r>
        <w:rPr>
          <w:rFonts w:hint="eastAsia" w:ascii="仿宋_GB2312" w:hAnsi="黑体"/>
          <w:color w:val="auto"/>
          <w:sz w:val="32"/>
          <w:szCs w:val="32"/>
          <w:highlight w:val="none"/>
          <w:lang w:val="en-US" w:eastAsia="zh-CN"/>
        </w:rPr>
        <w:t>5</w:t>
      </w:r>
      <w:r>
        <w:rPr>
          <w:rFonts w:hint="eastAsia" w:ascii="仿宋_GB2312" w:hAnsi="黑体"/>
          <w:color w:val="auto"/>
          <w:sz w:val="32"/>
          <w:szCs w:val="32"/>
          <w:highlight w:val="none"/>
        </w:rPr>
        <w:t>万元，执行率</w:t>
      </w:r>
      <w:r>
        <w:rPr>
          <w:rFonts w:hint="eastAsia" w:ascii="仿宋_GB2312" w:hAnsi="黑体"/>
          <w:color w:val="auto"/>
          <w:sz w:val="32"/>
          <w:szCs w:val="32"/>
          <w:highlight w:val="none"/>
          <w:lang w:val="en-US" w:eastAsia="zh-CN"/>
        </w:rPr>
        <w:t>100</w:t>
      </w:r>
      <w:r>
        <w:rPr>
          <w:rFonts w:hint="eastAsia" w:ascii="仿宋_GB2312" w:hAnsi="黑体"/>
          <w:color w:val="auto"/>
          <w:sz w:val="32"/>
          <w:szCs w:val="32"/>
          <w:highlight w:val="none"/>
        </w:rPr>
        <w:t>%，资金落实到位。为确保项目资金的安全有效使用、安全运行，提高资金的使用效率，我单位严格按照</w:t>
      </w:r>
      <w:r>
        <w:rPr>
          <w:rFonts w:hint="eastAsia" w:ascii="仿宋_GB2312" w:hAnsi="黑体"/>
          <w:color w:val="auto"/>
          <w:sz w:val="32"/>
          <w:szCs w:val="32"/>
          <w:highlight w:val="none"/>
          <w:lang w:eastAsia="zh-CN"/>
        </w:rPr>
        <w:t>《木垒县审计局收支管理制度》</w:t>
      </w:r>
      <w:r>
        <w:rPr>
          <w:rFonts w:hint="eastAsia" w:ascii="仿宋_GB2312" w:hAnsi="黑体"/>
          <w:color w:val="auto"/>
          <w:sz w:val="32"/>
          <w:szCs w:val="32"/>
          <w:highlight w:val="none"/>
        </w:rPr>
        <w:t>执行，资金由财政大平台统一拨付，由财政监管，严禁随意调整预算，改变支出用途，做到专款专用，严禁截留、挪用、挤占项目资金等违规违纪问题的发生。</w:t>
      </w:r>
    </w:p>
    <w:p w14:paraId="62AF2963">
      <w:pPr>
        <w:pStyle w:val="3"/>
        <w:pageBreakBefore w:val="0"/>
        <w:widowControl w:val="0"/>
        <w:numPr>
          <w:ilvl w:val="0"/>
          <w:numId w:val="0"/>
        </w:numPr>
        <w:kinsoku/>
        <w:wordWrap/>
        <w:overflowPunct/>
        <w:topLinePunct w:val="0"/>
        <w:autoSpaceDE/>
        <w:bidi w:val="0"/>
        <w:spacing w:before="0" w:after="0" w:line="560" w:lineRule="exact"/>
        <w:ind w:firstLine="643" w:firstLineChars="200"/>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lang w:eastAsia="zh-CN"/>
        </w:rPr>
        <w:t>（二）</w:t>
      </w:r>
      <w:r>
        <w:rPr>
          <w:rFonts w:hint="eastAsia" w:ascii="楷体_GB2312" w:hAnsi="楷体_GB2312" w:eastAsia="楷体_GB2312" w:cs="楷体_GB2312"/>
          <w:b/>
          <w:bCs/>
          <w:color w:val="auto"/>
          <w:highlight w:val="none"/>
        </w:rPr>
        <w:t>项目绩效目标</w:t>
      </w:r>
    </w:p>
    <w:p w14:paraId="4F1F80CD">
      <w:pPr>
        <w:pageBreakBefore w:val="0"/>
        <w:widowControl w:val="0"/>
        <w:numPr>
          <w:ilvl w:val="0"/>
          <w:numId w:val="0"/>
        </w:numPr>
        <w:kinsoku/>
        <w:wordWrap/>
        <w:overflowPunct/>
        <w:topLinePunct w:val="0"/>
        <w:autoSpaceDE/>
        <w:bidi w:val="0"/>
        <w:spacing w:line="560" w:lineRule="exact"/>
        <w:ind w:leftChars="200"/>
        <w:rPr>
          <w:rFonts w:hint="eastAsia" w:ascii="仿宋_GB2312" w:hAnsi="黑体"/>
          <w:b/>
          <w:bCs/>
          <w:color w:val="auto"/>
          <w:sz w:val="32"/>
          <w:szCs w:val="32"/>
          <w:highlight w:val="none"/>
        </w:rPr>
      </w:pPr>
      <w:r>
        <w:rPr>
          <w:rFonts w:hint="eastAsia" w:ascii="仿宋_GB2312" w:hAnsi="黑体"/>
          <w:b/>
          <w:bCs/>
          <w:color w:val="auto"/>
          <w:sz w:val="32"/>
          <w:szCs w:val="32"/>
          <w:highlight w:val="none"/>
          <w:lang w:val="en-US" w:eastAsia="zh-CN"/>
        </w:rPr>
        <w:t>1.</w:t>
      </w:r>
      <w:r>
        <w:rPr>
          <w:rFonts w:hint="eastAsia" w:ascii="仿宋_GB2312" w:hAnsi="黑体"/>
          <w:b/>
          <w:bCs/>
          <w:color w:val="auto"/>
          <w:sz w:val="32"/>
          <w:szCs w:val="32"/>
          <w:highlight w:val="none"/>
        </w:rPr>
        <w:t>总体目标</w:t>
      </w:r>
    </w:p>
    <w:p w14:paraId="5BB5DB4C">
      <w:pPr>
        <w:pageBreakBefore w:val="0"/>
        <w:widowControl w:val="0"/>
        <w:numPr>
          <w:ilvl w:val="0"/>
          <w:numId w:val="0"/>
        </w:numPr>
        <w:kinsoku/>
        <w:wordWrap/>
        <w:overflowPunct/>
        <w:topLinePunct w:val="0"/>
        <w:autoSpaceDE/>
        <w:bidi w:val="0"/>
        <w:spacing w:line="560" w:lineRule="exact"/>
        <w:ind w:firstLine="640" w:firstLineChars="200"/>
        <w:rPr>
          <w:rFonts w:hint="eastAsia" w:ascii="仿宋_GB2312" w:hAnsi="黑体"/>
          <w:color w:val="auto"/>
          <w:sz w:val="32"/>
          <w:szCs w:val="32"/>
          <w:highlight w:val="none"/>
          <w:lang w:val="en-US" w:eastAsia="zh-CN"/>
        </w:rPr>
      </w:pPr>
      <w:r>
        <w:rPr>
          <w:rFonts w:hint="eastAsia" w:ascii="仿宋_GB2312" w:hAnsi="黑体"/>
          <w:color w:val="auto"/>
          <w:sz w:val="32"/>
          <w:szCs w:val="32"/>
          <w:highlight w:val="none"/>
          <w:lang w:val="en-US" w:eastAsia="zh-CN"/>
        </w:rPr>
        <w:t>保障驻村干部工作正常运转。 目标2：认真落实区州县党委、人民政府深化“访惠聚”驻村工作的部署要求，切实做好经费保障工作，确保“访惠聚”工作正常开展。</w:t>
      </w:r>
    </w:p>
    <w:p w14:paraId="6273D3B3">
      <w:pPr>
        <w:pageBreakBefore w:val="0"/>
        <w:widowControl w:val="0"/>
        <w:numPr>
          <w:ilvl w:val="0"/>
          <w:numId w:val="0"/>
        </w:numPr>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2.阶段性目标</w:t>
      </w:r>
    </w:p>
    <w:p w14:paraId="257BFB8C">
      <w:pPr>
        <w:pStyle w:val="7"/>
        <w:pageBreakBefore w:val="0"/>
        <w:widowControl w:val="0"/>
        <w:kinsoku/>
        <w:wordWrap/>
        <w:overflowPunct/>
        <w:topLinePunct w:val="0"/>
        <w:autoSpaceDE/>
        <w:bidi w:val="0"/>
        <w:spacing w:line="560" w:lineRule="exact"/>
        <w:ind w:firstLine="640" w:firstLineChars="200"/>
        <w:rPr>
          <w:rFonts w:hint="eastAsia" w:ascii="仿宋_GB2312" w:hAnsi="黑体" w:eastAsia="仿宋_GB2312" w:cs="Times New Roman"/>
          <w:color w:val="auto"/>
          <w:kern w:val="2"/>
          <w:sz w:val="32"/>
          <w:szCs w:val="32"/>
          <w:highlight w:val="none"/>
          <w:lang w:val="en-US" w:eastAsia="zh-CN" w:bidi="ar-SA"/>
        </w:rPr>
      </w:pPr>
      <w:r>
        <w:rPr>
          <w:rFonts w:hint="eastAsia" w:ascii="仿宋_GB2312" w:hAnsi="黑体" w:eastAsia="仿宋_GB2312" w:cs="Times New Roman"/>
          <w:color w:val="auto"/>
          <w:kern w:val="2"/>
          <w:sz w:val="32"/>
          <w:szCs w:val="32"/>
          <w:highlight w:val="none"/>
          <w:lang w:val="en-US" w:eastAsia="zh-CN" w:bidi="ar-SA"/>
        </w:rPr>
        <w:t>2.1 2023年10月9日前完成帮助包联帮扶村发展庭院经济、村庄绿化管道铺设项目，购买0.6PE管材、租赁挖掘机、雇佣临时工、购买配件共计12500元；开展“送温暖、办实事、促和谐”慰问活动，慰问退伍老兵、老党员、残疾人员、村“两委”成员，购买米面清油共计6250元；保障乌克勒别依特村基本办公，购买办公用品6250元；</w:t>
      </w:r>
    </w:p>
    <w:p w14:paraId="7F0C7DFC">
      <w:pPr>
        <w:pageBreakBefore w:val="0"/>
        <w:widowControl w:val="0"/>
        <w:kinsoku/>
        <w:wordWrap/>
        <w:overflowPunct/>
        <w:topLinePunct w:val="0"/>
        <w:autoSpaceDE/>
        <w:bidi w:val="0"/>
        <w:spacing w:line="560" w:lineRule="exact"/>
        <w:ind w:firstLine="640" w:firstLineChars="200"/>
        <w:rPr>
          <w:rFonts w:hint="eastAsia" w:ascii="仿宋_GB2312" w:hAnsi="黑体" w:eastAsia="仿宋_GB2312" w:cs="Times New Roman"/>
          <w:color w:val="auto"/>
          <w:kern w:val="2"/>
          <w:sz w:val="32"/>
          <w:szCs w:val="32"/>
          <w:highlight w:val="none"/>
          <w:lang w:val="en-US" w:eastAsia="zh-CN" w:bidi="ar-SA"/>
        </w:rPr>
      </w:pPr>
      <w:r>
        <w:rPr>
          <w:rFonts w:hint="eastAsia" w:ascii="仿宋_GB2312" w:hAnsi="黑体" w:eastAsia="仿宋_GB2312" w:cs="Times New Roman"/>
          <w:color w:val="auto"/>
          <w:kern w:val="2"/>
          <w:sz w:val="32"/>
          <w:szCs w:val="32"/>
          <w:highlight w:val="none"/>
          <w:lang w:val="en-US" w:eastAsia="zh-CN" w:bidi="ar-SA"/>
        </w:rPr>
        <w:t>2.2 2023年12月31日前完成改善农村人居环境、保障村民安全出行修缮村村道田间道路共计12500元；为开展“雀仁乡“多彩牧区·最甜雀仁乡农产品展销会美食节””搭建大舞台，6250元；打造“石榴籽服务站”广告牌、文化墙共计6250元。</w:t>
      </w:r>
    </w:p>
    <w:p w14:paraId="169E2C63">
      <w:pPr>
        <w:pStyle w:val="2"/>
        <w:pageBreakBefore w:val="0"/>
        <w:widowControl w:val="0"/>
        <w:kinsoku/>
        <w:wordWrap/>
        <w:overflowPunct/>
        <w:topLinePunct w:val="0"/>
        <w:autoSpaceDE/>
        <w:bidi w:val="0"/>
        <w:spacing w:before="0" w:after="0" w:line="560" w:lineRule="exact"/>
        <w:ind w:firstLine="640" w:firstLineChars="200"/>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二、绩效评价工作开展情况</w:t>
      </w:r>
    </w:p>
    <w:p w14:paraId="42E950B1">
      <w:pPr>
        <w:pStyle w:val="3"/>
        <w:pageBreakBefore w:val="0"/>
        <w:widowControl w:val="0"/>
        <w:kinsoku/>
        <w:wordWrap/>
        <w:overflowPunct/>
        <w:topLinePunct w:val="0"/>
        <w:autoSpaceDE/>
        <w:bidi w:val="0"/>
        <w:spacing w:before="0" w:after="0" w:line="560" w:lineRule="exact"/>
        <w:ind w:firstLine="643" w:firstLineChars="200"/>
        <w:rPr>
          <w:rFonts w:ascii="仿宋_GB2312" w:hAnsi="黑体" w:eastAsia="仿宋_GB2312"/>
          <w:b/>
          <w:bCs/>
          <w:color w:val="auto"/>
          <w:highlight w:val="none"/>
        </w:rPr>
      </w:pPr>
      <w:r>
        <w:rPr>
          <w:rFonts w:hint="eastAsia" w:ascii="仿宋_GB2312" w:hAnsi="黑体" w:eastAsia="仿宋_GB2312"/>
          <w:b/>
          <w:bCs/>
          <w:color w:val="auto"/>
          <w:highlight w:val="none"/>
        </w:rPr>
        <w:t>（一）绩效评价目的、对象和范围。</w:t>
      </w:r>
    </w:p>
    <w:p w14:paraId="559AB177">
      <w:pPr>
        <w:pageBreakBefore w:val="0"/>
        <w:widowControl w:val="0"/>
        <w:kinsoku/>
        <w:wordWrap/>
        <w:overflowPunct/>
        <w:topLinePunct w:val="0"/>
        <w:autoSpaceDE/>
        <w:bidi w:val="0"/>
        <w:adjustRightInd w:val="0"/>
        <w:snapToGrid w:val="0"/>
        <w:spacing w:line="560" w:lineRule="exact"/>
        <w:ind w:left="640"/>
        <w:rPr>
          <w:rFonts w:ascii="仿宋_GB2312" w:hAnsi="黑体" w:cs="仿宋"/>
          <w:b/>
          <w:bCs/>
          <w:color w:val="auto"/>
          <w:sz w:val="32"/>
          <w:szCs w:val="32"/>
          <w:highlight w:val="none"/>
        </w:rPr>
      </w:pPr>
      <w:r>
        <w:rPr>
          <w:rFonts w:hint="eastAsia" w:ascii="仿宋_GB2312" w:hAnsi="黑体" w:cs="仿宋"/>
          <w:b/>
          <w:bCs/>
          <w:color w:val="auto"/>
          <w:sz w:val="32"/>
          <w:szCs w:val="32"/>
          <w:highlight w:val="none"/>
        </w:rPr>
        <w:t>1.绩效评价目的</w:t>
      </w:r>
    </w:p>
    <w:p w14:paraId="39478D7B">
      <w:pPr>
        <w:pageBreakBefore w:val="0"/>
        <w:widowControl w:val="0"/>
        <w:kinsoku/>
        <w:wordWrap/>
        <w:overflowPunct/>
        <w:topLinePunct w:val="0"/>
        <w:autoSpaceDE/>
        <w:bidi w:val="0"/>
        <w:adjustRightInd w:val="0"/>
        <w:snapToGrid w:val="0"/>
        <w:spacing w:line="560" w:lineRule="exact"/>
        <w:ind w:firstLine="640" w:firstLineChars="200"/>
        <w:rPr>
          <w:rFonts w:ascii="仿宋_GB2312" w:hAnsi="黑体" w:cs="仿宋"/>
          <w:color w:val="auto"/>
          <w:sz w:val="32"/>
          <w:szCs w:val="32"/>
          <w:highlight w:val="none"/>
        </w:rPr>
      </w:pPr>
      <w:r>
        <w:rPr>
          <w:rFonts w:hint="eastAsia" w:ascii="仿宋_GB2312" w:hAnsi="黑体" w:cs="仿宋"/>
          <w:color w:val="auto"/>
          <w:sz w:val="32"/>
          <w:szCs w:val="32"/>
          <w:highlight w:val="none"/>
        </w:rPr>
        <w:t>通过对20</w:t>
      </w:r>
      <w:r>
        <w:rPr>
          <w:rFonts w:ascii="仿宋_GB2312" w:hAnsi="黑体" w:cs="仿宋"/>
          <w:color w:val="auto"/>
          <w:sz w:val="32"/>
          <w:szCs w:val="32"/>
          <w:highlight w:val="none"/>
        </w:rPr>
        <w:t>2</w:t>
      </w:r>
      <w:r>
        <w:rPr>
          <w:rFonts w:hint="eastAsia" w:ascii="仿宋_GB2312" w:hAnsi="黑体" w:cs="仿宋"/>
          <w:color w:val="auto"/>
          <w:sz w:val="32"/>
          <w:szCs w:val="32"/>
          <w:highlight w:val="none"/>
        </w:rPr>
        <w:t>3年度本级财政下拨的</w:t>
      </w:r>
      <w:r>
        <w:rPr>
          <w:rFonts w:hint="eastAsia" w:ascii="仿宋_GB2312" w:hAnsi="黑体" w:cs="仿宋"/>
          <w:color w:val="auto"/>
          <w:sz w:val="32"/>
          <w:szCs w:val="32"/>
          <w:highlight w:val="none"/>
          <w:lang w:eastAsia="zh-CN"/>
        </w:rPr>
        <w:t>木垒县审计局包联帮扶村乌克勒别依特村为民办实事经费项目</w:t>
      </w:r>
      <w:r>
        <w:rPr>
          <w:rFonts w:hint="eastAsia" w:ascii="仿宋_GB2312" w:hAnsi="黑体" w:cs="仿宋"/>
          <w:color w:val="auto"/>
          <w:sz w:val="32"/>
          <w:szCs w:val="32"/>
          <w:highlight w:val="none"/>
        </w:rPr>
        <w:t>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14:paraId="0571C7A2">
      <w:pPr>
        <w:pageBreakBefore w:val="0"/>
        <w:widowControl w:val="0"/>
        <w:kinsoku/>
        <w:wordWrap/>
        <w:overflowPunct/>
        <w:topLinePunct w:val="0"/>
        <w:autoSpaceDE/>
        <w:bidi w:val="0"/>
        <w:adjustRightInd w:val="0"/>
        <w:snapToGrid w:val="0"/>
        <w:spacing w:line="560" w:lineRule="exact"/>
        <w:ind w:left="640"/>
        <w:rPr>
          <w:rFonts w:ascii="仿宋_GB2312" w:hAnsi="黑体" w:cs="仿宋"/>
          <w:b/>
          <w:bCs/>
          <w:color w:val="auto"/>
          <w:sz w:val="32"/>
          <w:szCs w:val="32"/>
          <w:highlight w:val="none"/>
        </w:rPr>
      </w:pPr>
      <w:r>
        <w:rPr>
          <w:rFonts w:hint="eastAsia" w:ascii="仿宋_GB2312" w:hAnsi="黑体" w:cs="仿宋"/>
          <w:b/>
          <w:bCs/>
          <w:color w:val="auto"/>
          <w:sz w:val="32"/>
          <w:szCs w:val="32"/>
          <w:highlight w:val="none"/>
        </w:rPr>
        <w:t>2.绩效评价对象</w:t>
      </w:r>
    </w:p>
    <w:p w14:paraId="1242588A">
      <w:pPr>
        <w:pageBreakBefore w:val="0"/>
        <w:widowControl w:val="0"/>
        <w:kinsoku/>
        <w:wordWrap/>
        <w:overflowPunct/>
        <w:topLinePunct w:val="0"/>
        <w:autoSpaceDE/>
        <w:bidi w:val="0"/>
        <w:adjustRightInd w:val="0"/>
        <w:snapToGrid w:val="0"/>
        <w:spacing w:line="560" w:lineRule="exact"/>
        <w:ind w:firstLine="640" w:firstLineChars="200"/>
        <w:rPr>
          <w:rFonts w:hint="eastAsia" w:ascii="仿宋_GB2312" w:hAnsi="黑体" w:cs="仿宋"/>
          <w:color w:val="auto"/>
          <w:sz w:val="32"/>
          <w:szCs w:val="32"/>
          <w:highlight w:val="none"/>
        </w:rPr>
      </w:pPr>
      <w:r>
        <w:rPr>
          <w:rFonts w:hint="eastAsia" w:ascii="仿宋_GB2312" w:hAnsi="黑体" w:cs="仿宋"/>
          <w:color w:val="auto"/>
          <w:sz w:val="32"/>
          <w:szCs w:val="32"/>
          <w:highlight w:val="none"/>
          <w:lang w:eastAsia="zh-CN"/>
        </w:rPr>
        <w:t>木垒县</w:t>
      </w:r>
      <w:r>
        <w:rPr>
          <w:rFonts w:hint="eastAsia" w:ascii="仿宋_GB2312" w:hAnsi="黑体" w:cs="仿宋"/>
          <w:color w:val="auto"/>
          <w:sz w:val="32"/>
          <w:szCs w:val="32"/>
          <w:highlight w:val="none"/>
        </w:rPr>
        <w:t>审计局包联帮扶村乌克勒别依特村为民办实事经费项目支出资金。</w:t>
      </w:r>
    </w:p>
    <w:p w14:paraId="458ED1D3">
      <w:pPr>
        <w:pageBreakBefore w:val="0"/>
        <w:widowControl w:val="0"/>
        <w:kinsoku/>
        <w:wordWrap/>
        <w:overflowPunct/>
        <w:topLinePunct w:val="0"/>
        <w:autoSpaceDE/>
        <w:bidi w:val="0"/>
        <w:adjustRightInd w:val="0"/>
        <w:snapToGrid w:val="0"/>
        <w:spacing w:line="560" w:lineRule="exact"/>
        <w:ind w:left="640"/>
        <w:rPr>
          <w:rFonts w:ascii="仿宋_GB2312" w:hAnsi="黑体" w:cs="仿宋"/>
          <w:color w:val="auto"/>
          <w:sz w:val="32"/>
          <w:szCs w:val="32"/>
          <w:highlight w:val="none"/>
        </w:rPr>
      </w:pPr>
      <w:r>
        <w:rPr>
          <w:rFonts w:hint="eastAsia" w:ascii="仿宋_GB2312" w:hAnsi="黑体" w:cs="仿宋"/>
          <w:b/>
          <w:bCs/>
          <w:color w:val="auto"/>
          <w:sz w:val="32"/>
          <w:szCs w:val="32"/>
          <w:highlight w:val="none"/>
        </w:rPr>
        <w:t>3.绩效评价范围</w:t>
      </w:r>
    </w:p>
    <w:p w14:paraId="1522ED82">
      <w:pPr>
        <w:pageBreakBefore w:val="0"/>
        <w:widowControl w:val="0"/>
        <w:kinsoku/>
        <w:wordWrap/>
        <w:overflowPunct/>
        <w:topLinePunct w:val="0"/>
        <w:autoSpaceDE/>
        <w:bidi w:val="0"/>
        <w:adjustRightInd w:val="0"/>
        <w:snapToGrid w:val="0"/>
        <w:spacing w:line="560" w:lineRule="exact"/>
        <w:ind w:firstLine="640" w:firstLineChars="200"/>
        <w:rPr>
          <w:rFonts w:ascii="仿宋_GB2312" w:hAnsi="黑体"/>
          <w:color w:val="auto"/>
          <w:sz w:val="32"/>
          <w:szCs w:val="32"/>
          <w:highlight w:val="none"/>
        </w:rPr>
      </w:pPr>
      <w:r>
        <w:rPr>
          <w:rFonts w:hint="eastAsia" w:ascii="仿宋_GB2312" w:hAnsi="黑体" w:cs="仿宋"/>
          <w:color w:val="auto"/>
          <w:sz w:val="32"/>
          <w:szCs w:val="32"/>
          <w:highlight w:val="none"/>
        </w:rPr>
        <w:t>本次评价主要对</w:t>
      </w:r>
      <w:r>
        <w:rPr>
          <w:rFonts w:hint="eastAsia" w:ascii="仿宋_GB2312" w:hAnsi="黑体" w:cs="仿宋"/>
          <w:color w:val="auto"/>
          <w:sz w:val="32"/>
          <w:szCs w:val="32"/>
          <w:highlight w:val="none"/>
          <w:lang w:eastAsia="zh-CN"/>
        </w:rPr>
        <w:t>木垒县</w:t>
      </w:r>
      <w:r>
        <w:rPr>
          <w:rFonts w:hint="eastAsia" w:ascii="仿宋_GB2312" w:hAnsi="黑体" w:cs="仿宋"/>
          <w:color w:val="auto"/>
          <w:sz w:val="32"/>
          <w:szCs w:val="32"/>
          <w:highlight w:val="none"/>
        </w:rPr>
        <w:t>审计局包联帮扶村乌克勒别依特村为民办实事经费</w:t>
      </w:r>
      <w:r>
        <w:rPr>
          <w:rFonts w:hint="eastAsia" w:ascii="仿宋_GB2312" w:hAnsi="黑体"/>
          <w:color w:val="auto"/>
          <w:sz w:val="32"/>
          <w:szCs w:val="32"/>
          <w:highlight w:val="none"/>
        </w:rPr>
        <w:t>项目</w:t>
      </w:r>
      <w:r>
        <w:rPr>
          <w:rFonts w:hint="eastAsia" w:ascii="仿宋_GB2312" w:hAnsi="黑体" w:cs="仿宋"/>
          <w:color w:val="auto"/>
          <w:sz w:val="32"/>
          <w:szCs w:val="32"/>
          <w:highlight w:val="none"/>
        </w:rPr>
        <w:t>的工作完成情况、完成效果及公众满意度进行评价，</w:t>
      </w:r>
      <w:r>
        <w:rPr>
          <w:rFonts w:hint="eastAsia" w:ascii="仿宋_GB2312" w:hAnsi="黑体"/>
          <w:color w:val="auto"/>
          <w:sz w:val="32"/>
          <w:szCs w:val="32"/>
          <w:highlight w:val="none"/>
        </w:rPr>
        <w:t>具体从项目决策（包括绩效目标、决策过程）、项目过程（包括项目资金、项目实施）、项目产出（包括项目产出数量、产出质量、产出时效和产出成本）、项目效益四个维度来评价。</w:t>
      </w:r>
    </w:p>
    <w:p w14:paraId="3654195C">
      <w:pPr>
        <w:pStyle w:val="3"/>
        <w:pageBreakBefore w:val="0"/>
        <w:widowControl w:val="0"/>
        <w:kinsoku/>
        <w:wordWrap/>
        <w:overflowPunct/>
        <w:topLinePunct w:val="0"/>
        <w:autoSpaceDE/>
        <w:bidi w:val="0"/>
        <w:spacing w:before="0" w:after="0" w:line="560" w:lineRule="exact"/>
        <w:ind w:firstLine="643" w:firstLineChars="200"/>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rPr>
        <w:t>（二）绩效评价原则、评价指标体系、评价方法、评价标准</w:t>
      </w:r>
    </w:p>
    <w:p w14:paraId="759F6C19">
      <w:pPr>
        <w:pageBreakBefore w:val="0"/>
        <w:widowControl w:val="0"/>
        <w:kinsoku/>
        <w:wordWrap/>
        <w:overflowPunct/>
        <w:topLinePunct w:val="0"/>
        <w:autoSpaceDE/>
        <w:bidi w:val="0"/>
        <w:spacing w:line="560" w:lineRule="exact"/>
        <w:ind w:firstLine="602" w:firstLineChars="200"/>
        <w:rPr>
          <w:rFonts w:ascii="仿宋_GB2312" w:hAnsi="黑体"/>
          <w:b/>
          <w:bCs/>
          <w:color w:val="auto"/>
          <w:highlight w:val="none"/>
        </w:rPr>
      </w:pPr>
      <w:r>
        <w:rPr>
          <w:rFonts w:hint="eastAsia" w:ascii="仿宋_GB2312" w:hAnsi="黑体"/>
          <w:b/>
          <w:bCs/>
          <w:color w:val="auto"/>
          <w:highlight w:val="none"/>
        </w:rPr>
        <w:t>1.绩效评价原则</w:t>
      </w:r>
    </w:p>
    <w:p w14:paraId="31B5052C">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bCs/>
          <w:color w:val="auto"/>
          <w:sz w:val="32"/>
          <w:szCs w:val="32"/>
          <w:highlight w:val="none"/>
        </w:rPr>
        <w:t>本次绩效评价严格按照《财政部关于印发&lt;项目支出绩效评价管理办法&gt;的通知》（财预【2020】10号）等文件要求，按照科学合理的方式，综合分析考核项目的绩效情况。</w:t>
      </w:r>
    </w:p>
    <w:p w14:paraId="1CE5BFED">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（1）科学规范原则。坚持严格执行规定的程序，按照科学可行的要求，采用定量与定性分析相结合的方法。</w:t>
      </w:r>
    </w:p>
    <w:p w14:paraId="1F8FFAC1">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（2）公正公开原则。坚持符合真实、客观、公正的要求，依法公开并接受监督。</w:t>
      </w:r>
    </w:p>
    <w:p w14:paraId="0F72130D">
      <w:pPr>
        <w:pageBreakBefore w:val="0"/>
        <w:widowControl w:val="0"/>
        <w:kinsoku/>
        <w:wordWrap/>
        <w:overflowPunct/>
        <w:topLinePunct w:val="0"/>
        <w:autoSpaceDE/>
        <w:bidi w:val="0"/>
        <w:spacing w:line="560" w:lineRule="exact"/>
        <w:ind w:left="600" w:leftChars="200"/>
        <w:rPr>
          <w:rFonts w:ascii="仿宋_GB2312" w:hAnsi="黑体"/>
          <w:color w:val="auto"/>
          <w:sz w:val="32"/>
          <w:szCs w:val="32"/>
          <w:highlight w:val="none"/>
        </w:rPr>
      </w:pPr>
      <w:r>
        <w:rPr>
          <w:rFonts w:hint="eastAsia" w:ascii="仿宋_GB2312" w:hAnsi="黑体"/>
          <w:color w:val="auto"/>
          <w:sz w:val="32"/>
          <w:szCs w:val="32"/>
          <w:highlight w:val="none"/>
        </w:rPr>
        <w:t>（3）分级分类原则。坚持根据评价对象的特点分类组织实施。</w:t>
      </w:r>
    </w:p>
    <w:p w14:paraId="70A5D7D8">
      <w:pPr>
        <w:pageBreakBefore w:val="0"/>
        <w:widowControl w:val="0"/>
        <w:kinsoku/>
        <w:wordWrap/>
        <w:overflowPunct/>
        <w:topLinePunct w:val="0"/>
        <w:autoSpaceDE/>
        <w:bidi w:val="0"/>
        <w:spacing w:line="560" w:lineRule="exact"/>
        <w:ind w:firstLine="640" w:firstLineChars="200"/>
        <w:rPr>
          <w:rFonts w:ascii="仿宋_GB2312" w:hAnsi="黑体"/>
          <w:b w:val="0"/>
          <w:bCs w:val="0"/>
          <w:color w:val="auto"/>
          <w:sz w:val="32"/>
          <w:szCs w:val="32"/>
          <w:highlight w:val="none"/>
        </w:rPr>
      </w:pPr>
      <w:r>
        <w:rPr>
          <w:rFonts w:hint="eastAsia" w:ascii="仿宋_GB2312" w:hAnsi="黑体"/>
          <w:color w:val="auto"/>
          <w:sz w:val="32"/>
          <w:szCs w:val="32"/>
          <w:highlight w:val="none"/>
        </w:rPr>
        <w:t>（4）绩效相关原则。应当针对具体支出及其产出绩效进行，</w:t>
      </w:r>
      <w:r>
        <w:rPr>
          <w:rFonts w:hint="eastAsia" w:ascii="仿宋_GB2312" w:hAnsi="黑体"/>
          <w:b w:val="0"/>
          <w:bCs w:val="0"/>
          <w:color w:val="auto"/>
          <w:sz w:val="32"/>
          <w:szCs w:val="32"/>
          <w:highlight w:val="none"/>
        </w:rPr>
        <w:t>评价结果应当清晰反映支出和产出绩效之间的紧密对应关系。</w:t>
      </w:r>
    </w:p>
    <w:p w14:paraId="66C555A8">
      <w:pPr>
        <w:pageBreakBefore w:val="0"/>
        <w:widowControl w:val="0"/>
        <w:kinsoku/>
        <w:wordWrap/>
        <w:overflowPunct/>
        <w:topLinePunct w:val="0"/>
        <w:autoSpaceDE/>
        <w:bidi w:val="0"/>
        <w:spacing w:line="560" w:lineRule="exact"/>
        <w:ind w:left="600" w:leftChars="200" w:firstLine="321" w:firstLineChars="100"/>
        <w:rPr>
          <w:rFonts w:ascii="仿宋_GB2312" w:hAnsi="黑体"/>
          <w:b/>
          <w:bCs/>
          <w:color w:val="auto"/>
          <w:sz w:val="32"/>
          <w:szCs w:val="32"/>
          <w:highlight w:val="none"/>
        </w:rPr>
      </w:pPr>
      <w:r>
        <w:rPr>
          <w:rFonts w:hint="eastAsia" w:ascii="仿宋_GB2312" w:hAnsi="黑体"/>
          <w:b/>
          <w:bCs/>
          <w:color w:val="auto"/>
          <w:sz w:val="32"/>
          <w:szCs w:val="32"/>
          <w:highlight w:val="none"/>
        </w:rPr>
        <w:t>2.评价指标体系</w:t>
      </w:r>
    </w:p>
    <w:p w14:paraId="5B8119FD">
      <w:pPr>
        <w:pStyle w:val="14"/>
        <w:pageBreakBefore w:val="0"/>
        <w:widowControl w:val="0"/>
        <w:kinsoku/>
        <w:wordWrap/>
        <w:overflowPunct/>
        <w:topLinePunct w:val="0"/>
        <w:autoSpaceDE/>
        <w:bidi w:val="0"/>
        <w:spacing w:line="560" w:lineRule="exact"/>
        <w:ind w:left="360" w:firstLine="600"/>
        <w:rPr>
          <w:rFonts w:ascii="仿宋_GB2312" w:hAnsi="黑体"/>
          <w:color w:val="auto"/>
          <w:sz w:val="32"/>
          <w:szCs w:val="32"/>
          <w:highlight w:val="none"/>
        </w:rPr>
      </w:pPr>
      <w:r>
        <w:rPr>
          <w:rFonts w:hint="eastAsia" w:ascii="仿宋_GB2312" w:hAnsi="黑体"/>
          <w:color w:val="auto"/>
          <w:sz w:val="32"/>
          <w:szCs w:val="32"/>
          <w:highlight w:val="none"/>
        </w:rPr>
        <w:t>根据项目特征及具体情况，</w:t>
      </w:r>
      <w:r>
        <w:rPr>
          <w:rFonts w:hint="eastAsia" w:ascii="仿宋_GB2312" w:hAnsi="黑体"/>
          <w:bCs/>
          <w:color w:val="auto"/>
          <w:sz w:val="32"/>
          <w:szCs w:val="32"/>
          <w:highlight w:val="none"/>
        </w:rP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w:t>
      </w:r>
      <w:r>
        <w:rPr>
          <w:rFonts w:hint="eastAsia" w:ascii="仿宋_GB2312" w:hAnsi="黑体"/>
          <w:color w:val="auto"/>
          <w:sz w:val="32"/>
          <w:szCs w:val="32"/>
          <w:highlight w:val="none"/>
        </w:rPr>
        <w:t>并以此设定各项指标的分值分配：决策、过程、产出、效果。本次绩效评价实行百分制，即各项指标值之和为100分，项目采用综合评分法进行绩效评价。见附表1。</w:t>
      </w:r>
    </w:p>
    <w:p w14:paraId="0D270A4D">
      <w:pPr>
        <w:pageBreakBefore w:val="0"/>
        <w:widowControl w:val="0"/>
        <w:kinsoku/>
        <w:wordWrap/>
        <w:overflowPunct/>
        <w:topLinePunct w:val="0"/>
        <w:autoSpaceDE/>
        <w:bidi w:val="0"/>
        <w:spacing w:line="560" w:lineRule="exact"/>
        <w:ind w:firstLine="643" w:firstLineChars="200"/>
        <w:rPr>
          <w:rFonts w:ascii="仿宋_GB2312" w:hAnsi="黑体"/>
          <w:b/>
          <w:bCs/>
          <w:color w:val="auto"/>
          <w:sz w:val="32"/>
          <w:szCs w:val="32"/>
          <w:highlight w:val="none"/>
        </w:rPr>
      </w:pPr>
      <w:r>
        <w:rPr>
          <w:rFonts w:hint="eastAsia" w:ascii="仿宋_GB2312" w:hAnsi="黑体"/>
          <w:b/>
          <w:bCs/>
          <w:color w:val="auto"/>
          <w:sz w:val="32"/>
          <w:szCs w:val="32"/>
          <w:highlight w:val="none"/>
        </w:rPr>
        <w:t>3.评价方法</w:t>
      </w:r>
    </w:p>
    <w:p w14:paraId="292D0367">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本项目主要采用全面评价和重点评价相结合、现场评价和非现场评价相结合的方式，运用综合评分法进行评价。</w:t>
      </w:r>
    </w:p>
    <w:p w14:paraId="0EAA37DA">
      <w:pPr>
        <w:pageBreakBefore w:val="0"/>
        <w:widowControl w:val="0"/>
        <w:kinsoku/>
        <w:wordWrap/>
        <w:overflowPunct/>
        <w:topLinePunct w:val="0"/>
        <w:autoSpaceDE/>
        <w:bidi w:val="0"/>
        <w:spacing w:line="560" w:lineRule="exact"/>
        <w:ind w:firstLine="643" w:firstLineChars="200"/>
        <w:rPr>
          <w:rFonts w:ascii="仿宋_GB2312" w:hAnsi="黑体"/>
          <w:b/>
          <w:bCs/>
          <w:color w:val="auto"/>
          <w:sz w:val="32"/>
          <w:szCs w:val="32"/>
          <w:highlight w:val="none"/>
        </w:rPr>
      </w:pPr>
      <w:r>
        <w:rPr>
          <w:rFonts w:ascii="仿宋_GB2312" w:hAnsi="黑体"/>
          <w:b/>
          <w:bCs/>
          <w:color w:val="auto"/>
          <w:sz w:val="32"/>
          <w:szCs w:val="32"/>
          <w:highlight w:val="none"/>
        </w:rPr>
        <w:t>4.</w:t>
      </w:r>
      <w:r>
        <w:rPr>
          <w:rFonts w:hint="eastAsia" w:ascii="仿宋_GB2312" w:hAnsi="黑体"/>
          <w:b/>
          <w:bCs/>
          <w:color w:val="auto"/>
          <w:sz w:val="32"/>
          <w:szCs w:val="32"/>
          <w:highlight w:val="none"/>
        </w:rPr>
        <w:t>评价标准</w:t>
      </w:r>
    </w:p>
    <w:p w14:paraId="6D575EAF">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14:paraId="4EEECF78">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财政支出绩效评价指标包括两大类，一类是定量指标，一类是定性指标。本次绩效评价采用“定量的指标体系的打分评价”+“定性的调查信息的归纳和提炼”，两种方式互相补充以构成对本次项目的完整评价。</w:t>
      </w:r>
    </w:p>
    <w:p w14:paraId="78B3E6AD">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5E3D7B40">
      <w:pPr>
        <w:pStyle w:val="3"/>
        <w:pageBreakBefore w:val="0"/>
        <w:widowControl w:val="0"/>
        <w:kinsoku/>
        <w:wordWrap/>
        <w:overflowPunct/>
        <w:topLinePunct w:val="0"/>
        <w:autoSpaceDE/>
        <w:bidi w:val="0"/>
        <w:spacing w:before="0" w:after="0" w:line="560" w:lineRule="exact"/>
        <w:ind w:firstLine="643" w:firstLineChars="200"/>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rPr>
        <w:t>（三）绩效评价工作过程</w:t>
      </w:r>
    </w:p>
    <w:p w14:paraId="64CC707F">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1.前期准备</w:t>
      </w:r>
    </w:p>
    <w:p w14:paraId="32AF553F">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1.1 202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rPr>
        <w:t>我单位在收到自评工作任务后及时组织了绩效评价工作小组，其中</w:t>
      </w:r>
      <w:r>
        <w:rPr>
          <w:rFonts w:hint="eastAsia" w:ascii="仿宋_GB2312" w:hAnsi="仿宋_GB2312" w:eastAsia="仿宋_GB2312" w:cs="仿宋_GB2312"/>
          <w:color w:val="auto"/>
          <w:sz w:val="32"/>
          <w:szCs w:val="32"/>
          <w:highlight w:val="none"/>
          <w:lang w:eastAsia="zh-CN"/>
        </w:rPr>
        <w:t>党组书记、副局长</w:t>
      </w:r>
      <w:r>
        <w:rPr>
          <w:rFonts w:hint="eastAsia" w:ascii="仿宋_GB2312" w:hAnsi="仿宋_GB2312" w:eastAsia="仿宋_GB2312" w:cs="仿宋_GB2312"/>
          <w:color w:val="auto"/>
          <w:sz w:val="32"/>
          <w:szCs w:val="32"/>
          <w:highlight w:val="none"/>
        </w:rPr>
        <w:t>为组长，主要负责工作安排，</w:t>
      </w:r>
      <w:r>
        <w:rPr>
          <w:rFonts w:hint="eastAsia" w:ascii="仿宋_GB2312" w:hAnsi="仿宋_GB2312" w:eastAsia="仿宋_GB2312" w:cs="仿宋_GB2312"/>
          <w:color w:val="auto"/>
          <w:sz w:val="32"/>
          <w:szCs w:val="32"/>
          <w:highlight w:val="none"/>
          <w:lang w:eastAsia="zh-CN"/>
        </w:rPr>
        <w:t>局长</w:t>
      </w:r>
      <w:r>
        <w:rPr>
          <w:rFonts w:hint="eastAsia" w:ascii="仿宋_GB2312" w:hAnsi="仿宋_GB2312" w:eastAsia="仿宋_GB2312" w:cs="仿宋_GB2312"/>
          <w:color w:val="auto"/>
          <w:sz w:val="32"/>
          <w:szCs w:val="32"/>
          <w:highlight w:val="none"/>
        </w:rPr>
        <w:t>为副组长，主要负责报告的审核、指导，</w:t>
      </w:r>
      <w:r>
        <w:rPr>
          <w:rFonts w:hint="eastAsia" w:ascii="仿宋_GB2312" w:hAnsi="仿宋_GB2312" w:eastAsia="仿宋_GB2312" w:cs="仿宋_GB2312"/>
          <w:color w:val="auto"/>
          <w:sz w:val="32"/>
          <w:szCs w:val="32"/>
          <w:highlight w:val="none"/>
          <w:lang w:eastAsia="zh-CN"/>
        </w:rPr>
        <w:t>财务人员为</w:t>
      </w:r>
      <w:r>
        <w:rPr>
          <w:rFonts w:hint="eastAsia" w:ascii="仿宋_GB2312" w:hAnsi="仿宋_GB2312" w:eastAsia="仿宋_GB2312" w:cs="仿宋_GB2312"/>
          <w:color w:val="auto"/>
          <w:sz w:val="32"/>
          <w:szCs w:val="32"/>
          <w:highlight w:val="none"/>
        </w:rPr>
        <w:t>组员负责资料、数据整理，编制报告。小组制定了项目评价的工作思路及工作安排，参考学习了相关政策制度、实施方案和相关的工作文件，为评价工作的开展提供工作指引。</w:t>
      </w:r>
    </w:p>
    <w:p w14:paraId="2A86314C">
      <w:pPr>
        <w:pStyle w:val="14"/>
        <w:pageBreakBefore w:val="0"/>
        <w:widowControl w:val="0"/>
        <w:numPr>
          <w:ilvl w:val="0"/>
          <w:numId w:val="0"/>
        </w:numPr>
        <w:kinsoku/>
        <w:wordWrap/>
        <w:overflowPunct/>
        <w:topLinePunct w:val="0"/>
        <w:autoSpaceDE/>
        <w:bidi w:val="0"/>
        <w:spacing w:line="560" w:lineRule="exact"/>
        <w:ind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5日</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zh-CN"/>
        </w:rPr>
        <w:t>评价组通过前期调研</w:t>
      </w:r>
      <w:r>
        <w:rPr>
          <w:rFonts w:hint="eastAsia" w:ascii="仿宋_GB2312" w:hAnsi="仿宋_GB2312" w:eastAsia="仿宋_GB2312" w:cs="仿宋_GB2312"/>
          <w:color w:val="auto"/>
          <w:sz w:val="32"/>
          <w:szCs w:val="32"/>
          <w:highlight w:val="none"/>
        </w:rPr>
        <w:t>确定绩效评价对象和范围，</w:t>
      </w:r>
      <w:r>
        <w:rPr>
          <w:rFonts w:hint="eastAsia" w:ascii="仿宋_GB2312" w:hAnsi="仿宋_GB2312" w:eastAsia="仿宋_GB2312" w:cs="仿宋_GB2312"/>
          <w:color w:val="auto"/>
          <w:sz w:val="32"/>
          <w:szCs w:val="32"/>
          <w:highlight w:val="none"/>
          <w:lang w:val="zh-CN"/>
        </w:rPr>
        <w:t>确定了评价的目的、方法以及评价的原则；</w:t>
      </w:r>
    </w:p>
    <w:p w14:paraId="63BA36FC">
      <w:pPr>
        <w:pStyle w:val="14"/>
        <w:pageBreakBefore w:val="0"/>
        <w:widowControl w:val="0"/>
        <w:numPr>
          <w:ilvl w:val="0"/>
          <w:numId w:val="0"/>
        </w:numPr>
        <w:kinsoku/>
        <w:wordWrap/>
        <w:overflowPunct/>
        <w:topLinePunct w:val="0"/>
        <w:autoSpaceDE/>
        <w:bidi w:val="0"/>
        <w:spacing w:line="560" w:lineRule="exact"/>
        <w:ind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zh-CN"/>
        </w:rPr>
        <w:t>根据项目的</w:t>
      </w:r>
      <w:r>
        <w:rPr>
          <w:rFonts w:hint="eastAsia" w:ascii="仿宋_GB2312" w:hAnsi="仿宋_GB2312" w:eastAsia="仿宋_GB2312" w:cs="仿宋_GB2312"/>
          <w:color w:val="auto"/>
          <w:sz w:val="32"/>
          <w:szCs w:val="32"/>
          <w:highlight w:val="none"/>
        </w:rPr>
        <w:t>实施</w:t>
      </w:r>
      <w:r>
        <w:rPr>
          <w:rFonts w:hint="eastAsia" w:ascii="仿宋_GB2312" w:hAnsi="仿宋_GB2312" w:eastAsia="仿宋_GB2312" w:cs="仿宋_GB2312"/>
          <w:color w:val="auto"/>
          <w:sz w:val="32"/>
          <w:szCs w:val="32"/>
          <w:highlight w:val="none"/>
          <w:lang w:val="zh-CN"/>
        </w:rPr>
        <w:t>内容和特征制定了评价指标体系及评价标准以及评价实施方案，修正并确定所需资料清单，最终确定</w:t>
      </w:r>
      <w:r>
        <w:rPr>
          <w:rFonts w:hint="eastAsia" w:ascii="仿宋_GB2312" w:hAnsi="仿宋_GB2312" w:eastAsia="仿宋_GB2312" w:cs="仿宋_GB2312"/>
          <w:color w:val="auto"/>
          <w:sz w:val="32"/>
          <w:szCs w:val="32"/>
          <w:highlight w:val="none"/>
        </w:rPr>
        <w:t>绩效评价工作方案；</w:t>
      </w:r>
    </w:p>
    <w:p w14:paraId="144CB0D4">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2.组织实施</w:t>
      </w:r>
    </w:p>
    <w:p w14:paraId="29269CF0">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日，评价工作进入实施阶段：</w:t>
      </w:r>
    </w:p>
    <w:p w14:paraId="4D6ED9C5">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2.1评价组收集绩效评价相关数据资料，进行现场调研、座谈；</w:t>
      </w:r>
    </w:p>
    <w:p w14:paraId="06A9F7EF">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2.2 评价小组根据项目的实施情况、资金的分配和使用情况、项目自评情况，及时与项目实施人员沟通协商，对项目的实施全过程工作进行核实，并做了相关</w:t>
      </w:r>
      <w:r>
        <w:rPr>
          <w:rFonts w:hint="eastAsia" w:ascii="仿宋_GB2312" w:hAnsi="仿宋_GB2312" w:eastAsia="仿宋_GB2312" w:cs="仿宋_GB2312"/>
          <w:color w:val="auto"/>
          <w:sz w:val="32"/>
          <w:szCs w:val="32"/>
          <w:highlight w:val="none"/>
          <w:lang w:eastAsia="zh-CN"/>
        </w:rPr>
        <w:t>情况</w:t>
      </w:r>
      <w:r>
        <w:rPr>
          <w:rFonts w:hint="eastAsia" w:ascii="仿宋_GB2312" w:hAnsi="仿宋_GB2312" w:eastAsia="仿宋_GB2312" w:cs="仿宋_GB2312"/>
          <w:color w:val="auto"/>
          <w:sz w:val="32"/>
          <w:szCs w:val="32"/>
          <w:highlight w:val="none"/>
        </w:rPr>
        <w:t>调查，据实酌情调整完善评价指标体系，剖析问题产生原因。</w:t>
      </w:r>
    </w:p>
    <w:p w14:paraId="79B4AF7F">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3.分析评价：</w:t>
      </w:r>
    </w:p>
    <w:p w14:paraId="7B2DF791">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 xml:space="preserve">日- </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月3日，评价组按照绩效评价的原则和规范，对取得的资料进行审查核实，对采集的数据进行分析，按照绩效评价指标评分表逐项进行打分、分析，汇总各方评价结果，综合分析并形成评价结论。</w:t>
      </w:r>
    </w:p>
    <w:p w14:paraId="5783D274">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4.撰写报告</w:t>
      </w:r>
    </w:p>
    <w:p w14:paraId="52B0DAE3">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评价小组根据对项目的资料、实施情况进行核实分析后，围绕评价体系对项目支出绩效进行了评价打分，并撰写了绩效评价报告，报告编制完成后上报至单位领导处进行定稿，最终将定稿报告上报至</w:t>
      </w:r>
      <w:r>
        <w:rPr>
          <w:rFonts w:hint="eastAsia" w:ascii="仿宋_GB2312" w:hAnsi="仿宋_GB2312" w:eastAsia="仿宋_GB2312" w:cs="仿宋_GB2312"/>
          <w:color w:val="auto"/>
          <w:sz w:val="32"/>
          <w:szCs w:val="32"/>
          <w:highlight w:val="none"/>
          <w:lang w:eastAsia="zh-CN"/>
        </w:rPr>
        <w:t>木垒县</w:t>
      </w:r>
      <w:r>
        <w:rPr>
          <w:rFonts w:hint="eastAsia" w:ascii="仿宋_GB2312" w:hAnsi="仿宋_GB2312" w:eastAsia="仿宋_GB2312" w:cs="仿宋_GB2312"/>
          <w:color w:val="auto"/>
          <w:sz w:val="32"/>
          <w:szCs w:val="32"/>
          <w:highlight w:val="none"/>
        </w:rPr>
        <w:t>财政局。</w:t>
      </w:r>
    </w:p>
    <w:p w14:paraId="39D45281">
      <w:pPr>
        <w:pageBreakBefore w:val="0"/>
        <w:widowControl w:val="0"/>
        <w:kinsoku/>
        <w:wordWrap/>
        <w:overflowPunct/>
        <w:topLinePunct w:val="0"/>
        <w:autoSpaceDE/>
        <w:bidi w:val="0"/>
        <w:spacing w:line="560" w:lineRule="exact"/>
        <w:ind w:left="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5.资料归档</w:t>
      </w:r>
    </w:p>
    <w:p w14:paraId="16E6F8BA">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评价小组对已完成的评价项目资料进行整理、封装，完善绩效评价工作底稿，并将资料整理成册后交档案室统一归档保存，以备后期查阅。</w:t>
      </w:r>
    </w:p>
    <w:p w14:paraId="74B6AA65">
      <w:pPr>
        <w:pStyle w:val="2"/>
        <w:pageBreakBefore w:val="0"/>
        <w:widowControl w:val="0"/>
        <w:kinsoku/>
        <w:wordWrap/>
        <w:overflowPunct/>
        <w:topLinePunct w:val="0"/>
        <w:autoSpaceDE/>
        <w:bidi w:val="0"/>
        <w:spacing w:before="0" w:after="0" w:line="560" w:lineRule="exact"/>
        <w:ind w:firstLine="640" w:firstLineChars="200"/>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三、综合评价情况及评价结论</w:t>
      </w:r>
    </w:p>
    <w:p w14:paraId="6F723D9F">
      <w:pPr>
        <w:pageBreakBefore w:val="0"/>
        <w:widowControl w:val="0"/>
        <w:kinsoku/>
        <w:wordWrap/>
        <w:overflowPunct/>
        <w:topLinePunct w:val="0"/>
        <w:autoSpaceDE/>
        <w:bidi w:val="0"/>
        <w:spacing w:line="560" w:lineRule="exact"/>
        <w:ind w:firstLine="602" w:firstLineChars="200"/>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rPr>
        <w:t>（一）综合评价情况及评价结论</w:t>
      </w:r>
    </w:p>
    <w:p w14:paraId="0CC55031">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lang w:eastAsia="zh-CN"/>
        </w:rPr>
        <w:t>木垒县审计局</w:t>
      </w:r>
      <w:r>
        <w:rPr>
          <w:rFonts w:hint="eastAsia" w:ascii="仿宋_GB2312" w:hAnsi="黑体"/>
          <w:color w:val="auto"/>
          <w:sz w:val="32"/>
          <w:szCs w:val="32"/>
          <w:highlight w:val="none"/>
        </w:rPr>
        <w:t>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14:paraId="6B0F9787">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本项目通过制定的评价指标体系及评分标准，运用数据采集、问卷调查及访谈等方式，对本项目绩效进行客观评价，最终评分结果：总分为</w:t>
      </w:r>
      <w:r>
        <w:rPr>
          <w:rFonts w:hint="eastAsia" w:ascii="仿宋_GB2312" w:hAnsi="黑体"/>
          <w:color w:val="auto"/>
          <w:sz w:val="32"/>
          <w:szCs w:val="32"/>
          <w:highlight w:val="none"/>
          <w:lang w:val="en-US" w:eastAsia="zh-CN"/>
        </w:rPr>
        <w:t xml:space="preserve"> 90</w:t>
      </w:r>
      <w:r>
        <w:rPr>
          <w:rFonts w:hint="eastAsia" w:ascii="仿宋_GB2312" w:hAnsi="黑体"/>
          <w:color w:val="auto"/>
          <w:sz w:val="32"/>
          <w:szCs w:val="32"/>
          <w:highlight w:val="none"/>
        </w:rPr>
        <w:t>分。</w:t>
      </w:r>
    </w:p>
    <w:p w14:paraId="36E9C758">
      <w:pPr>
        <w:pageBreakBefore w:val="0"/>
        <w:widowControl w:val="0"/>
        <w:numPr>
          <w:ilvl w:val="0"/>
          <w:numId w:val="1"/>
        </w:numPr>
        <w:kinsoku/>
        <w:wordWrap/>
        <w:overflowPunct/>
        <w:topLinePunct w:val="0"/>
        <w:autoSpaceDE/>
        <w:bidi w:val="0"/>
        <w:spacing w:line="560" w:lineRule="exact"/>
        <w:ind w:firstLine="602" w:firstLineChars="200"/>
        <w:rPr>
          <w:rFonts w:hint="eastAsia" w:ascii="楷体_GB2312" w:hAnsi="楷体_GB2312" w:eastAsia="楷体_GB2312" w:cs="楷体_GB2312"/>
          <w:b/>
          <w:bCs/>
          <w:i w:val="0"/>
          <w:iCs w:val="0"/>
          <w:color w:val="auto"/>
          <w:highlight w:val="none"/>
        </w:rPr>
      </w:pPr>
      <w:r>
        <w:rPr>
          <w:rFonts w:hint="eastAsia" w:ascii="楷体_GB2312" w:hAnsi="楷体_GB2312" w:eastAsia="楷体_GB2312" w:cs="楷体_GB2312"/>
          <w:b/>
          <w:bCs/>
          <w:i w:val="0"/>
          <w:iCs w:val="0"/>
          <w:color w:val="auto"/>
          <w:highlight w:val="none"/>
        </w:rPr>
        <w:t>相关评分表</w:t>
      </w:r>
    </w:p>
    <w:p w14:paraId="239AB310">
      <w:pPr>
        <w:pageBreakBefore w:val="0"/>
        <w:widowControl w:val="0"/>
        <w:kinsoku/>
        <w:wordWrap/>
        <w:overflowPunct/>
        <w:topLinePunct w:val="0"/>
        <w:autoSpaceDE/>
        <w:bidi w:val="0"/>
        <w:spacing w:line="560" w:lineRule="exact"/>
        <w:ind w:firstLine="602" w:firstLineChars="200"/>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lang w:eastAsia="zh-CN"/>
        </w:rPr>
        <w:t>（三）</w:t>
      </w:r>
      <w:r>
        <w:rPr>
          <w:rFonts w:hint="eastAsia" w:ascii="楷体_GB2312" w:hAnsi="楷体_GB2312" w:eastAsia="楷体_GB2312" w:cs="楷体_GB2312"/>
          <w:b/>
          <w:bCs/>
          <w:color w:val="auto"/>
          <w:highlight w:val="none"/>
        </w:rPr>
        <w:t>各部分权重和绩效分值如下表所示：</w:t>
      </w:r>
      <w:bookmarkStart w:id="0" w:name="page24"/>
      <w:bookmarkEnd w:id="0"/>
      <w:r>
        <w:rPr>
          <w:rFonts w:hint="eastAsia" w:ascii="楷体_GB2312" w:hAnsi="楷体_GB2312" w:eastAsia="楷体_GB2312" w:cs="楷体_GB2312"/>
          <w:b/>
          <w:bCs/>
          <w:color w:val="auto"/>
          <w:highlight w:val="none"/>
        </w:rPr>
        <w:t>（详细评分表见附表）</w:t>
      </w:r>
    </w:p>
    <w:tbl>
      <w:tblPr>
        <w:tblStyle w:val="9"/>
        <w:tblW w:w="10820" w:type="dxa"/>
        <w:jc w:val="center"/>
        <w:tblLayout w:type="fixed"/>
        <w:tblCellMar>
          <w:top w:w="0" w:type="dxa"/>
          <w:left w:w="0" w:type="dxa"/>
          <w:bottom w:w="0" w:type="dxa"/>
          <w:right w:w="0" w:type="dxa"/>
        </w:tblCellMar>
      </w:tblPr>
      <w:tblGrid>
        <w:gridCol w:w="1180"/>
        <w:gridCol w:w="2100"/>
        <w:gridCol w:w="2140"/>
        <w:gridCol w:w="2160"/>
        <w:gridCol w:w="1620"/>
        <w:gridCol w:w="1620"/>
      </w:tblGrid>
      <w:tr w14:paraId="3BA5DF64">
        <w:tblPrEx>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46D934B9">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指标</w:t>
            </w:r>
          </w:p>
        </w:tc>
        <w:tc>
          <w:tcPr>
            <w:tcW w:w="2100" w:type="dxa"/>
            <w:tcBorders>
              <w:top w:val="single" w:color="auto" w:sz="4" w:space="0"/>
              <w:left w:val="single" w:color="auto" w:sz="4" w:space="0"/>
              <w:bottom w:val="single" w:color="auto" w:sz="4" w:space="0"/>
              <w:right w:val="single" w:color="auto" w:sz="4" w:space="0"/>
            </w:tcBorders>
            <w:vAlign w:val="bottom"/>
          </w:tcPr>
          <w:p w14:paraId="68A8F45B">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14:paraId="0F831718">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项目过程</w:t>
            </w:r>
          </w:p>
        </w:tc>
        <w:tc>
          <w:tcPr>
            <w:tcW w:w="2160" w:type="dxa"/>
            <w:tcBorders>
              <w:top w:val="single" w:color="auto" w:sz="4" w:space="0"/>
              <w:left w:val="single" w:color="auto" w:sz="4" w:space="0"/>
              <w:bottom w:val="single" w:color="auto" w:sz="4" w:space="0"/>
              <w:right w:val="single" w:color="auto" w:sz="4" w:space="0"/>
            </w:tcBorders>
            <w:vAlign w:val="bottom"/>
          </w:tcPr>
          <w:p w14:paraId="6144083C">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项目产出</w:t>
            </w:r>
          </w:p>
        </w:tc>
        <w:tc>
          <w:tcPr>
            <w:tcW w:w="1620" w:type="dxa"/>
            <w:tcBorders>
              <w:top w:val="single" w:color="auto" w:sz="4" w:space="0"/>
              <w:left w:val="single" w:color="auto" w:sz="4" w:space="0"/>
              <w:bottom w:val="single" w:color="auto" w:sz="4" w:space="0"/>
              <w:right w:val="single" w:color="auto" w:sz="4" w:space="0"/>
            </w:tcBorders>
          </w:tcPr>
          <w:p w14:paraId="0EFF0BDE">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14:paraId="4BCD49EA">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合计分值</w:t>
            </w:r>
          </w:p>
        </w:tc>
      </w:tr>
      <w:tr w14:paraId="360240FF">
        <w:tblPrEx>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15247892">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权重</w:t>
            </w:r>
          </w:p>
        </w:tc>
        <w:tc>
          <w:tcPr>
            <w:tcW w:w="2100" w:type="dxa"/>
            <w:tcBorders>
              <w:top w:val="single" w:color="auto" w:sz="4" w:space="0"/>
              <w:left w:val="single" w:color="auto" w:sz="4" w:space="0"/>
              <w:bottom w:val="single" w:color="auto" w:sz="4" w:space="0"/>
              <w:right w:val="single" w:color="auto" w:sz="4" w:space="0"/>
            </w:tcBorders>
            <w:vAlign w:val="bottom"/>
          </w:tcPr>
          <w:p w14:paraId="13EE91C2">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r>
              <w:rPr>
                <w:rFonts w:ascii="仿宋_GB2312" w:hAnsi="黑体"/>
                <w:color w:val="auto"/>
                <w:sz w:val="24"/>
                <w:highlight w:val="none"/>
              </w:rPr>
              <w:t>15</w:t>
            </w:r>
          </w:p>
        </w:tc>
        <w:tc>
          <w:tcPr>
            <w:tcW w:w="2140" w:type="dxa"/>
            <w:tcBorders>
              <w:top w:val="single" w:color="auto" w:sz="4" w:space="0"/>
              <w:left w:val="single" w:color="auto" w:sz="4" w:space="0"/>
              <w:bottom w:val="single" w:color="auto" w:sz="4" w:space="0"/>
              <w:right w:val="single" w:color="auto" w:sz="4" w:space="0"/>
            </w:tcBorders>
            <w:vAlign w:val="bottom"/>
          </w:tcPr>
          <w:p w14:paraId="7A2769FE">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r>
              <w:rPr>
                <w:rFonts w:ascii="仿宋_GB2312" w:hAnsi="黑体"/>
                <w:color w:val="auto"/>
                <w:sz w:val="24"/>
                <w:highlight w:val="none"/>
              </w:rPr>
              <w:t>15</w:t>
            </w:r>
          </w:p>
        </w:tc>
        <w:tc>
          <w:tcPr>
            <w:tcW w:w="2160" w:type="dxa"/>
            <w:tcBorders>
              <w:top w:val="single" w:color="auto" w:sz="4" w:space="0"/>
              <w:left w:val="single" w:color="auto" w:sz="4" w:space="0"/>
              <w:bottom w:val="single" w:color="auto" w:sz="4" w:space="0"/>
              <w:right w:val="single" w:color="auto" w:sz="4" w:space="0"/>
            </w:tcBorders>
            <w:vAlign w:val="bottom"/>
          </w:tcPr>
          <w:p w14:paraId="472C50CE">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r>
              <w:rPr>
                <w:rFonts w:ascii="仿宋_GB2312" w:hAnsi="黑体"/>
                <w:color w:val="auto"/>
                <w:sz w:val="24"/>
                <w:highlight w:val="none"/>
              </w:rPr>
              <w:t>50</w:t>
            </w:r>
          </w:p>
        </w:tc>
        <w:tc>
          <w:tcPr>
            <w:tcW w:w="1620" w:type="dxa"/>
            <w:tcBorders>
              <w:top w:val="single" w:color="auto" w:sz="4" w:space="0"/>
              <w:left w:val="single" w:color="auto" w:sz="4" w:space="0"/>
              <w:bottom w:val="single" w:color="auto" w:sz="4" w:space="0"/>
              <w:right w:val="single" w:color="auto" w:sz="4" w:space="0"/>
            </w:tcBorders>
          </w:tcPr>
          <w:p w14:paraId="280025BD">
            <w:pPr>
              <w:pageBreakBefore w:val="0"/>
              <w:widowControl w:val="0"/>
              <w:kinsoku/>
              <w:wordWrap/>
              <w:overflowPunct/>
              <w:topLinePunct w:val="0"/>
              <w:autoSpaceDE/>
              <w:bidi w:val="0"/>
              <w:spacing w:line="560" w:lineRule="exact"/>
              <w:ind w:firstLine="480" w:firstLineChars="200"/>
              <w:rPr>
                <w:rFonts w:ascii="仿宋_GB2312" w:hAnsi="黑体"/>
                <w:color w:val="auto"/>
                <w:sz w:val="24"/>
                <w:highlight w:val="none"/>
              </w:rPr>
            </w:pPr>
            <w:r>
              <w:rPr>
                <w:rFonts w:ascii="仿宋_GB2312" w:hAnsi="黑体"/>
                <w:color w:val="auto"/>
                <w:sz w:val="24"/>
                <w:highlight w:val="none"/>
              </w:rPr>
              <w:t>20</w:t>
            </w:r>
          </w:p>
        </w:tc>
        <w:tc>
          <w:tcPr>
            <w:tcW w:w="1620" w:type="dxa"/>
            <w:tcBorders>
              <w:top w:val="single" w:color="auto" w:sz="4" w:space="0"/>
              <w:left w:val="single" w:color="auto" w:sz="4" w:space="0"/>
              <w:bottom w:val="single" w:color="auto" w:sz="4" w:space="0"/>
              <w:right w:val="single" w:color="auto" w:sz="4" w:space="0"/>
            </w:tcBorders>
            <w:vAlign w:val="bottom"/>
          </w:tcPr>
          <w:p w14:paraId="4C46F8D7">
            <w:pPr>
              <w:pageBreakBefore w:val="0"/>
              <w:widowControl w:val="0"/>
              <w:kinsoku/>
              <w:wordWrap/>
              <w:overflowPunct/>
              <w:topLinePunct w:val="0"/>
              <w:autoSpaceDE/>
              <w:bidi w:val="0"/>
              <w:spacing w:line="560" w:lineRule="exact"/>
              <w:ind w:firstLine="480" w:firstLineChars="200"/>
              <w:rPr>
                <w:rFonts w:ascii="仿宋_GB2312" w:hAnsi="黑体"/>
                <w:color w:val="auto"/>
                <w:sz w:val="24"/>
                <w:highlight w:val="none"/>
              </w:rPr>
            </w:pPr>
            <w:r>
              <w:rPr>
                <w:rFonts w:hint="eastAsia" w:ascii="仿宋_GB2312" w:hAnsi="黑体"/>
                <w:color w:val="auto"/>
                <w:sz w:val="24"/>
                <w:highlight w:val="none"/>
              </w:rPr>
              <w:t>100</w:t>
            </w:r>
          </w:p>
        </w:tc>
      </w:tr>
      <w:tr w14:paraId="36CB16B0">
        <w:tblPrEx>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4ED967F0">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分值</w:t>
            </w:r>
          </w:p>
        </w:tc>
        <w:tc>
          <w:tcPr>
            <w:tcW w:w="2100" w:type="dxa"/>
            <w:tcBorders>
              <w:top w:val="single" w:color="auto" w:sz="4" w:space="0"/>
              <w:left w:val="single" w:color="auto" w:sz="4" w:space="0"/>
              <w:bottom w:val="single" w:color="auto" w:sz="4" w:space="0"/>
              <w:right w:val="single" w:color="auto" w:sz="4" w:space="0"/>
            </w:tcBorders>
            <w:vAlign w:val="bottom"/>
          </w:tcPr>
          <w:p w14:paraId="2F53158F">
            <w:pPr>
              <w:pageBreakBefore w:val="0"/>
              <w:widowControl w:val="0"/>
              <w:kinsoku/>
              <w:wordWrap/>
              <w:overflowPunct/>
              <w:topLinePunct w:val="0"/>
              <w:autoSpaceDE/>
              <w:bidi w:val="0"/>
              <w:spacing w:line="560" w:lineRule="exact"/>
              <w:ind w:firstLine="720" w:firstLineChars="300"/>
              <w:rPr>
                <w:rFonts w:hint="default" w:ascii="仿宋_GB2312" w:hAnsi="黑体" w:eastAsia="仿宋_GB2312"/>
                <w:color w:val="auto"/>
                <w:sz w:val="24"/>
                <w:highlight w:val="none"/>
                <w:lang w:val="en-US" w:eastAsia="zh-CN"/>
              </w:rPr>
            </w:pPr>
            <w:r>
              <w:rPr>
                <w:rFonts w:hint="eastAsia" w:ascii="仿宋_GB2312" w:hAnsi="黑体"/>
                <w:color w:val="auto"/>
                <w:sz w:val="24"/>
                <w:highlight w:val="none"/>
                <w:lang w:val="en-US" w:eastAsia="zh-CN"/>
              </w:rPr>
              <w:t>15</w:t>
            </w:r>
          </w:p>
        </w:tc>
        <w:tc>
          <w:tcPr>
            <w:tcW w:w="2140" w:type="dxa"/>
            <w:tcBorders>
              <w:top w:val="single" w:color="auto" w:sz="4" w:space="0"/>
              <w:left w:val="single" w:color="auto" w:sz="4" w:space="0"/>
              <w:bottom w:val="single" w:color="auto" w:sz="4" w:space="0"/>
              <w:right w:val="single" w:color="auto" w:sz="4" w:space="0"/>
            </w:tcBorders>
            <w:vAlign w:val="bottom"/>
          </w:tcPr>
          <w:p w14:paraId="073FDD16">
            <w:pPr>
              <w:pageBreakBefore w:val="0"/>
              <w:widowControl w:val="0"/>
              <w:kinsoku/>
              <w:wordWrap/>
              <w:overflowPunct/>
              <w:topLinePunct w:val="0"/>
              <w:autoSpaceDE/>
              <w:bidi w:val="0"/>
              <w:spacing w:line="560" w:lineRule="exact"/>
              <w:ind w:firstLine="720" w:firstLineChars="300"/>
              <w:rPr>
                <w:rFonts w:hint="default" w:ascii="仿宋_GB2312" w:hAnsi="黑体" w:eastAsia="仿宋_GB2312"/>
                <w:color w:val="auto"/>
                <w:sz w:val="24"/>
                <w:highlight w:val="none"/>
                <w:lang w:val="en-US" w:eastAsia="zh-CN"/>
              </w:rPr>
            </w:pPr>
            <w:r>
              <w:rPr>
                <w:rFonts w:hint="eastAsia" w:ascii="仿宋_GB2312" w:hAnsi="黑体"/>
                <w:color w:val="auto"/>
                <w:sz w:val="24"/>
                <w:highlight w:val="none"/>
                <w:lang w:val="en-US" w:eastAsia="zh-CN"/>
              </w:rPr>
              <w:t>15</w:t>
            </w:r>
          </w:p>
        </w:tc>
        <w:tc>
          <w:tcPr>
            <w:tcW w:w="2160" w:type="dxa"/>
            <w:tcBorders>
              <w:top w:val="single" w:color="auto" w:sz="4" w:space="0"/>
              <w:left w:val="single" w:color="auto" w:sz="4" w:space="0"/>
              <w:bottom w:val="single" w:color="auto" w:sz="4" w:space="0"/>
              <w:right w:val="single" w:color="auto" w:sz="4" w:space="0"/>
            </w:tcBorders>
            <w:vAlign w:val="bottom"/>
          </w:tcPr>
          <w:p w14:paraId="45E2D9D4">
            <w:pPr>
              <w:pageBreakBefore w:val="0"/>
              <w:widowControl w:val="0"/>
              <w:kinsoku/>
              <w:wordWrap/>
              <w:overflowPunct/>
              <w:topLinePunct w:val="0"/>
              <w:autoSpaceDE/>
              <w:bidi w:val="0"/>
              <w:spacing w:line="560" w:lineRule="exact"/>
              <w:ind w:firstLine="720" w:firstLineChars="300"/>
              <w:rPr>
                <w:rFonts w:hint="default" w:ascii="仿宋_GB2312" w:hAnsi="黑体" w:eastAsia="仿宋_GB2312"/>
                <w:color w:val="auto"/>
                <w:sz w:val="24"/>
                <w:highlight w:val="none"/>
                <w:lang w:val="en-US" w:eastAsia="zh-CN"/>
              </w:rPr>
            </w:pPr>
            <w:r>
              <w:rPr>
                <w:rFonts w:hint="eastAsia" w:ascii="仿宋_GB2312" w:hAnsi="黑体"/>
                <w:color w:val="auto"/>
                <w:sz w:val="24"/>
                <w:highlight w:val="none"/>
                <w:lang w:val="en-US" w:eastAsia="zh-CN"/>
              </w:rPr>
              <w:t>45</w:t>
            </w:r>
          </w:p>
        </w:tc>
        <w:tc>
          <w:tcPr>
            <w:tcW w:w="1620" w:type="dxa"/>
            <w:tcBorders>
              <w:top w:val="single" w:color="auto" w:sz="4" w:space="0"/>
              <w:left w:val="single" w:color="auto" w:sz="4" w:space="0"/>
              <w:bottom w:val="single" w:color="auto" w:sz="4" w:space="0"/>
              <w:right w:val="single" w:color="auto" w:sz="4" w:space="0"/>
            </w:tcBorders>
          </w:tcPr>
          <w:p w14:paraId="000E479E">
            <w:pPr>
              <w:pageBreakBefore w:val="0"/>
              <w:widowControl w:val="0"/>
              <w:kinsoku/>
              <w:wordWrap/>
              <w:overflowPunct/>
              <w:topLinePunct w:val="0"/>
              <w:autoSpaceDE/>
              <w:bidi w:val="0"/>
              <w:spacing w:line="560" w:lineRule="exact"/>
              <w:ind w:firstLine="480" w:firstLineChars="200"/>
              <w:rPr>
                <w:rFonts w:hint="default" w:ascii="仿宋_GB2312" w:hAnsi="黑体" w:eastAsia="仿宋_GB2312"/>
                <w:color w:val="auto"/>
                <w:sz w:val="24"/>
                <w:highlight w:val="none"/>
                <w:lang w:val="en-US" w:eastAsia="zh-CN"/>
              </w:rPr>
            </w:pPr>
            <w:r>
              <w:rPr>
                <w:rFonts w:hint="eastAsia" w:ascii="仿宋_GB2312" w:hAnsi="黑体"/>
                <w:color w:val="auto"/>
                <w:sz w:val="24"/>
                <w:highlight w:val="none"/>
                <w:lang w:val="en-US" w:eastAsia="zh-CN"/>
              </w:rPr>
              <w:t>15</w:t>
            </w:r>
          </w:p>
        </w:tc>
        <w:tc>
          <w:tcPr>
            <w:tcW w:w="1620" w:type="dxa"/>
            <w:tcBorders>
              <w:top w:val="single" w:color="auto" w:sz="4" w:space="0"/>
              <w:left w:val="single" w:color="auto" w:sz="4" w:space="0"/>
              <w:bottom w:val="single" w:color="auto" w:sz="4" w:space="0"/>
              <w:right w:val="single" w:color="auto" w:sz="4" w:space="0"/>
            </w:tcBorders>
            <w:vAlign w:val="bottom"/>
          </w:tcPr>
          <w:p w14:paraId="689895AC">
            <w:pPr>
              <w:pageBreakBefore w:val="0"/>
              <w:widowControl w:val="0"/>
              <w:kinsoku/>
              <w:wordWrap/>
              <w:overflowPunct/>
              <w:topLinePunct w:val="0"/>
              <w:autoSpaceDE/>
              <w:bidi w:val="0"/>
              <w:spacing w:line="560" w:lineRule="exact"/>
              <w:ind w:firstLine="480" w:firstLineChars="200"/>
              <w:rPr>
                <w:rFonts w:hint="default" w:ascii="仿宋_GB2312" w:hAnsi="黑体" w:eastAsia="仿宋_GB2312"/>
                <w:color w:val="auto"/>
                <w:sz w:val="24"/>
                <w:highlight w:val="none"/>
                <w:lang w:val="en-US" w:eastAsia="zh-CN"/>
              </w:rPr>
            </w:pPr>
            <w:r>
              <w:rPr>
                <w:rFonts w:hint="eastAsia" w:ascii="仿宋_GB2312" w:hAnsi="黑体"/>
                <w:color w:val="auto"/>
                <w:sz w:val="24"/>
                <w:highlight w:val="none"/>
                <w:lang w:val="en-US" w:eastAsia="zh-CN"/>
              </w:rPr>
              <w:t>90</w:t>
            </w:r>
          </w:p>
        </w:tc>
      </w:tr>
    </w:tbl>
    <w:p w14:paraId="1C22AE2C">
      <w:pPr>
        <w:pStyle w:val="2"/>
        <w:pageBreakBefore w:val="0"/>
        <w:widowControl w:val="0"/>
        <w:kinsoku/>
        <w:wordWrap/>
        <w:overflowPunct/>
        <w:topLinePunct w:val="0"/>
        <w:autoSpaceDE/>
        <w:bidi w:val="0"/>
        <w:spacing w:before="0" w:after="0" w:line="560" w:lineRule="exact"/>
        <w:ind w:firstLine="640" w:firstLineChars="200"/>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四、绩效评价指标分析</w:t>
      </w:r>
    </w:p>
    <w:p w14:paraId="7A80A3B2">
      <w:pPr>
        <w:pageBreakBefore w:val="0"/>
        <w:widowControl w:val="0"/>
        <w:kinsoku/>
        <w:wordWrap/>
        <w:overflowPunct/>
        <w:topLinePunct w:val="0"/>
        <w:autoSpaceDE/>
        <w:bidi w:val="0"/>
        <w:spacing w:line="560" w:lineRule="exact"/>
        <w:ind w:firstLine="643" w:firstLineChars="200"/>
        <w:rPr>
          <w:rFonts w:ascii="仿宋_GB2312" w:hAnsi="黑体"/>
          <w:color w:val="auto"/>
          <w:highlight w:val="none"/>
        </w:rPr>
      </w:pPr>
      <w:r>
        <w:rPr>
          <w:rStyle w:val="16"/>
          <w:rFonts w:hint="eastAsia" w:ascii="仿宋_GB2312" w:hAnsi="黑体" w:eastAsia="仿宋_GB2312"/>
          <w:color w:val="auto"/>
          <w:highlight w:val="none"/>
        </w:rPr>
        <w:t>（一）项目决策情况</w:t>
      </w:r>
    </w:p>
    <w:p w14:paraId="41FE3AB1">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1.立项依据充分性</w:t>
      </w:r>
    </w:p>
    <w:p w14:paraId="77317F17">
      <w:pPr>
        <w:pageBreakBefore w:val="0"/>
        <w:widowControl w:val="0"/>
        <w:kinsoku/>
        <w:wordWrap/>
        <w:overflowPunct/>
        <w:topLinePunct w:val="0"/>
        <w:autoSpaceDE/>
        <w:bidi w:val="0"/>
        <w:spacing w:line="560" w:lineRule="exact"/>
        <w:ind w:left="6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（1）项目立项依据</w:t>
      </w:r>
      <w:r>
        <w:rPr>
          <w:rFonts w:hint="eastAsia" w:ascii="仿宋_GB2312" w:hAnsi="仿宋_GB2312" w:eastAsia="仿宋_GB2312" w:cs="仿宋_GB2312"/>
          <w:color w:val="auto"/>
          <w:sz w:val="32"/>
          <w:szCs w:val="32"/>
          <w:highlight w:val="none"/>
          <w:lang w:eastAsia="zh-CN"/>
        </w:rPr>
        <w:t>昌州财预〔</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16号文件。</w:t>
      </w:r>
    </w:p>
    <w:p w14:paraId="0B7245A4">
      <w:pPr>
        <w:pageBreakBefore w:val="0"/>
        <w:widowControl w:val="0"/>
        <w:kinsoku/>
        <w:wordWrap/>
        <w:overflowPunct/>
        <w:topLinePunct w:val="0"/>
        <w:autoSpaceDE/>
        <w:bidi w:val="0"/>
        <w:spacing w:line="560" w:lineRule="exact"/>
        <w:ind w:left="6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eastAsia="zh-CN"/>
        </w:rPr>
        <w:t>《关于</w:t>
      </w:r>
      <w:r>
        <w:rPr>
          <w:rFonts w:hint="eastAsia" w:ascii="仿宋_GB2312" w:hAnsi="仿宋_GB2312" w:eastAsia="仿宋_GB2312" w:cs="仿宋_GB2312"/>
          <w:color w:val="auto"/>
          <w:sz w:val="32"/>
          <w:szCs w:val="32"/>
          <w:highlight w:val="none"/>
          <w:lang w:val="en-US" w:eastAsia="zh-CN"/>
        </w:rPr>
        <w:t>2018年自治区“访惠聚”驻村工作专项经费有关事宜的通知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新民办发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2018</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5号</w:t>
      </w:r>
      <w:r>
        <w:rPr>
          <w:rFonts w:hint="eastAsia" w:ascii="仿宋_GB2312" w:hAnsi="仿宋_GB2312" w:eastAsia="仿宋_GB2312" w:cs="仿宋_GB2312"/>
          <w:color w:val="auto"/>
          <w:sz w:val="32"/>
          <w:szCs w:val="32"/>
          <w:highlight w:val="none"/>
          <w:lang w:eastAsia="zh-CN"/>
        </w:rPr>
        <w:t>）</w:t>
      </w:r>
    </w:p>
    <w:p w14:paraId="16820EE3">
      <w:pPr>
        <w:pageBreakBefore w:val="0"/>
        <w:widowControl w:val="0"/>
        <w:kinsoku/>
        <w:wordWrap/>
        <w:overflowPunct/>
        <w:topLinePunct w:val="0"/>
        <w:autoSpaceDE/>
        <w:bidi w:val="0"/>
        <w:spacing w:line="560" w:lineRule="exact"/>
        <w:ind w:left="6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lang w:eastAsia="zh-CN"/>
        </w:rPr>
        <w:t>《关于认真做好</w:t>
      </w:r>
      <w:r>
        <w:rPr>
          <w:rFonts w:hint="eastAsia" w:ascii="仿宋_GB2312" w:hAnsi="仿宋_GB2312" w:eastAsia="仿宋_GB2312" w:cs="仿宋_GB2312"/>
          <w:color w:val="auto"/>
          <w:sz w:val="32"/>
          <w:szCs w:val="32"/>
          <w:highlight w:val="none"/>
          <w:lang w:val="en-US" w:eastAsia="zh-CN"/>
        </w:rPr>
        <w:t>2018年自治区“访惠聚”驻村（社区）工作专项经费保障有关事宜的通知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昌州民办发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2018</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35号</w:t>
      </w:r>
      <w:r>
        <w:rPr>
          <w:rFonts w:hint="eastAsia" w:ascii="仿宋_GB2312" w:hAnsi="仿宋_GB2312" w:eastAsia="仿宋_GB2312" w:cs="仿宋_GB2312"/>
          <w:color w:val="auto"/>
          <w:sz w:val="32"/>
          <w:szCs w:val="32"/>
          <w:highlight w:val="none"/>
          <w:lang w:eastAsia="zh-CN"/>
        </w:rPr>
        <w:t>）</w:t>
      </w:r>
    </w:p>
    <w:p w14:paraId="26B45676">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2.立项程序规范性</w:t>
      </w:r>
    </w:p>
    <w:p w14:paraId="7A69C26F">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①项目立项程序：提报项目建议书、申请立项过程等均按照立项程序的相关规定进行；</w:t>
      </w:r>
    </w:p>
    <w:p w14:paraId="6772394C">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②审批文件、材料：本项目审批文件有：木财预字[2023]24号《关于下达2023年木垒县部门预算批复的通知》，审批文件及材料齐全；</w:t>
      </w:r>
    </w:p>
    <w:p w14:paraId="394E39BB">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③项目事前工作：本项目已经过必要的可行性研究、专家论证、风险评估、绩效评估、集体决策。</w:t>
      </w:r>
    </w:p>
    <w:p w14:paraId="0762D32E">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3.绩效目标合理性</w:t>
      </w:r>
    </w:p>
    <w:p w14:paraId="426EB9DC">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2023年审计局包联帮扶村乌克勒别依特村为民办实事经费设立了项目绩效目标，与</w:t>
      </w:r>
      <w:r>
        <w:rPr>
          <w:rFonts w:hint="eastAsia" w:ascii="仿宋_GB2312" w:hAnsi="仿宋_GB2312" w:cs="仿宋_GB2312"/>
          <w:color w:val="auto"/>
          <w:sz w:val="32"/>
          <w:szCs w:val="32"/>
          <w:highlight w:val="none"/>
          <w:lang w:eastAsia="zh-CN"/>
        </w:rPr>
        <w:t>为民办实事办好事内容</w:t>
      </w:r>
      <w:r>
        <w:rPr>
          <w:rFonts w:hint="eastAsia" w:ascii="仿宋_GB2312" w:hAnsi="仿宋_GB2312" w:eastAsia="仿宋_GB2312" w:cs="仿宋_GB2312"/>
          <w:color w:val="auto"/>
          <w:sz w:val="32"/>
          <w:szCs w:val="32"/>
          <w:highlight w:val="none"/>
        </w:rPr>
        <w:t>具有相关性，项目的预期产出效益和效果也均能符合正常的业绩水平，并且与预算确定的项目投资额或资金量相匹配。</w:t>
      </w:r>
    </w:p>
    <w:p w14:paraId="4C7AE2CE">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4.绩效指标明确性</w:t>
      </w:r>
    </w:p>
    <w:p w14:paraId="5AA48541">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bookmarkStart w:id="1" w:name="_Hlk68699917"/>
      <w:r>
        <w:rPr>
          <w:rFonts w:hint="eastAsia" w:ascii="仿宋_GB2312" w:hAnsi="仿宋_GB2312" w:eastAsia="仿宋_GB2312" w:cs="仿宋_GB2312"/>
          <w:color w:val="auto"/>
          <w:sz w:val="32"/>
          <w:szCs w:val="32"/>
          <w:highlight w:val="none"/>
        </w:rPr>
        <w:t>2023年审计局包联帮扶村乌克勒别依特村为民办实事经费项目将项目绩效目标细化分解为具体的绩效指标，一级指标共</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条，二级指标共X</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条，三级指标共</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条，其中量化指标条数共</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条，所有绩效指标均通过清晰、可衡量的指标值予以体现，并且做到了与项目目标任务数或计划数相对应。</w:t>
      </w:r>
      <w:bookmarkEnd w:id="1"/>
    </w:p>
    <w:p w14:paraId="26C14032">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5.预算编制科学性</w:t>
      </w:r>
    </w:p>
    <w:p w14:paraId="34EAFEBC">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本项目项目预算编制根据项目建设内容进行计算，预算内容与项目内容无偏差，预算额度测算依据充分，项目投资额与工作任务匹配性100%，不存在偏差性。</w:t>
      </w:r>
    </w:p>
    <w:p w14:paraId="2A879178">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6.资金分配合理性</w:t>
      </w:r>
    </w:p>
    <w:p w14:paraId="5EDD3BEF">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本项目预算资金分配依据</w:t>
      </w:r>
      <w:r>
        <w:rPr>
          <w:rFonts w:hint="eastAsia" w:ascii="仿宋_GB2312" w:hAnsi="仿宋_GB2312" w:eastAsia="仿宋_GB2312" w:cs="仿宋_GB2312"/>
          <w:b w:val="0"/>
          <w:bCs/>
          <w:color w:val="auto"/>
          <w:sz w:val="32"/>
          <w:szCs w:val="32"/>
          <w:highlight w:val="none"/>
          <w:lang w:val="en-US" w:eastAsia="zh-CN"/>
        </w:rPr>
        <w:t>《关于下达2023年木垒县部门预算批复的通知》（木财预字[2023]24号），</w:t>
      </w:r>
      <w:r>
        <w:rPr>
          <w:rFonts w:hint="eastAsia" w:ascii="仿宋_GB2312" w:hAnsi="仿宋_GB2312" w:eastAsia="仿宋_GB2312" w:cs="仿宋_GB2312"/>
          <w:color w:val="auto"/>
          <w:sz w:val="32"/>
          <w:szCs w:val="32"/>
          <w:highlight w:val="none"/>
        </w:rPr>
        <w:t>项目资金分配额度无偏低或偏高情况，分配额度合理。项目单位为</w:t>
      </w:r>
      <w:r>
        <w:rPr>
          <w:rFonts w:hint="eastAsia" w:ascii="仿宋_GB2312" w:hAnsi="仿宋_GB2312" w:eastAsia="仿宋_GB2312" w:cs="仿宋_GB2312"/>
          <w:color w:val="auto"/>
          <w:sz w:val="32"/>
          <w:szCs w:val="32"/>
          <w:highlight w:val="none"/>
          <w:lang w:eastAsia="zh-CN"/>
        </w:rPr>
        <w:t>木垒县审计局，</w:t>
      </w:r>
      <w:r>
        <w:rPr>
          <w:rFonts w:hint="eastAsia" w:ascii="仿宋_GB2312" w:hAnsi="仿宋_GB2312" w:eastAsia="仿宋_GB2312" w:cs="仿宋_GB2312"/>
          <w:color w:val="auto"/>
          <w:sz w:val="32"/>
          <w:szCs w:val="32"/>
          <w:highlight w:val="none"/>
        </w:rPr>
        <w:t>单位位于</w:t>
      </w:r>
      <w:r>
        <w:rPr>
          <w:rFonts w:hint="eastAsia" w:ascii="仿宋_GB2312" w:hAnsi="仿宋_GB2312" w:eastAsia="仿宋_GB2312" w:cs="仿宋_GB2312"/>
          <w:color w:val="auto"/>
          <w:sz w:val="32"/>
          <w:szCs w:val="32"/>
          <w:highlight w:val="none"/>
          <w:lang w:eastAsia="zh-CN"/>
        </w:rPr>
        <w:t>木垒</w:t>
      </w:r>
      <w:r>
        <w:rPr>
          <w:rFonts w:hint="eastAsia" w:ascii="仿宋_GB2312" w:hAnsi="仿宋_GB2312" w:eastAsia="仿宋_GB2312" w:cs="仿宋_GB2312"/>
          <w:color w:val="auto"/>
          <w:sz w:val="32"/>
          <w:szCs w:val="32"/>
          <w:highlight w:val="none"/>
        </w:rPr>
        <w:t>县，资金分配与单位实际相适应。</w:t>
      </w:r>
    </w:p>
    <w:p w14:paraId="6741658B">
      <w:pPr>
        <w:pStyle w:val="3"/>
        <w:pageBreakBefore w:val="0"/>
        <w:widowControl w:val="0"/>
        <w:kinsoku/>
        <w:wordWrap/>
        <w:overflowPunct/>
        <w:topLinePunct w:val="0"/>
        <w:autoSpaceDE/>
        <w:bidi w:val="0"/>
        <w:spacing w:before="0" w:after="0" w:line="560" w:lineRule="exact"/>
        <w:ind w:firstLine="643" w:firstLineChars="200"/>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rPr>
        <w:t>（二）项目过程情况</w:t>
      </w:r>
    </w:p>
    <w:p w14:paraId="0266D590">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1.资金到位率：</w:t>
      </w:r>
    </w:p>
    <w:p w14:paraId="1DD5AE6E">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实际到位资金</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万元，预算资金</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万元，资金到位率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14:paraId="5F415573">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2.预算执行率</w:t>
      </w:r>
    </w:p>
    <w:p w14:paraId="77FA78FE">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年初预算数</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万元，全年预算数</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万元，全年执行数</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万元，预算执行率为</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w:t>
      </w:r>
    </w:p>
    <w:p w14:paraId="71BA33C3">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3.资金使用合规性</w:t>
      </w:r>
    </w:p>
    <w:p w14:paraId="7EA088F8">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3.1 资金使用符合、财务管理制度以及有关专项资金管理办法的规定；</w:t>
      </w:r>
    </w:p>
    <w:p w14:paraId="09B0224C">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color w:val="auto"/>
          <w:sz w:val="32"/>
          <w:szCs w:val="32"/>
          <w:highlight w:val="none"/>
        </w:rPr>
        <w:t xml:space="preserve">3.2 </w:t>
      </w:r>
      <w:r>
        <w:rPr>
          <w:rFonts w:hint="eastAsia" w:ascii="仿宋_GB2312" w:hAnsi="仿宋_GB2312" w:eastAsia="仿宋_GB2312" w:cs="仿宋_GB2312"/>
          <w:b w:val="0"/>
          <w:bCs/>
          <w:color w:val="auto"/>
          <w:sz w:val="32"/>
          <w:szCs w:val="32"/>
          <w:highlight w:val="none"/>
          <w:lang w:val="en-US" w:eastAsia="zh-CN"/>
        </w:rPr>
        <w:t xml:space="preserve"> 资金的拨付严格按照木垒县财政局资金拨付审批程序进行：由木垒县审计局进行实施。</w:t>
      </w:r>
    </w:p>
    <w:p w14:paraId="23CA49A4">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项目资金截至</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31</w:t>
      </w:r>
      <w:r>
        <w:rPr>
          <w:rFonts w:hint="eastAsia" w:ascii="仿宋_GB2312" w:hAnsi="仿宋_GB2312" w:eastAsia="仿宋_GB2312" w:cs="仿宋_GB2312"/>
          <w:color w:val="auto"/>
          <w:sz w:val="32"/>
          <w:szCs w:val="32"/>
          <w:highlight w:val="none"/>
        </w:rPr>
        <w:t>日已拨付至</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%，过程不存在截留、挤占、挪用、虚列支出等情况。</w:t>
      </w:r>
    </w:p>
    <w:p w14:paraId="10EE15DF">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4.管理制度健全性</w:t>
      </w:r>
    </w:p>
    <w:p w14:paraId="750B4E38">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4.1 本项目已制定《</w:t>
      </w:r>
      <w:r>
        <w:rPr>
          <w:rFonts w:hint="eastAsia" w:ascii="仿宋_GB2312" w:hAnsi="仿宋_GB2312" w:eastAsia="仿宋_GB2312" w:cs="仿宋_GB2312"/>
          <w:color w:val="auto"/>
          <w:sz w:val="32"/>
          <w:szCs w:val="32"/>
          <w:highlight w:val="none"/>
          <w:lang w:eastAsia="zh-CN"/>
        </w:rPr>
        <w:t>木垒县审计局收支管理制度</w:t>
      </w:r>
      <w:r>
        <w:rPr>
          <w:rFonts w:hint="eastAsia" w:ascii="仿宋_GB2312" w:hAnsi="仿宋_GB2312" w:eastAsia="仿宋_GB2312" w:cs="仿宋_GB2312"/>
          <w:color w:val="auto"/>
          <w:sz w:val="32"/>
          <w:szCs w:val="32"/>
          <w:highlight w:val="none"/>
        </w:rPr>
        <w:t>》、《木垒县</w:t>
      </w:r>
      <w:r>
        <w:rPr>
          <w:rFonts w:hint="eastAsia" w:ascii="仿宋_GB2312" w:hAnsi="仿宋_GB2312" w:eastAsia="仿宋_GB2312" w:cs="仿宋_GB2312"/>
          <w:color w:val="auto"/>
          <w:sz w:val="32"/>
          <w:szCs w:val="32"/>
          <w:highlight w:val="none"/>
          <w:lang w:eastAsia="zh-CN"/>
        </w:rPr>
        <w:t>审计局政府采购制度</w:t>
      </w:r>
      <w:r>
        <w:rPr>
          <w:rFonts w:hint="eastAsia" w:ascii="仿宋_GB2312" w:hAnsi="仿宋_GB2312" w:eastAsia="仿宋_GB2312" w:cs="仿宋_GB2312"/>
          <w:color w:val="auto"/>
          <w:sz w:val="32"/>
          <w:szCs w:val="32"/>
          <w:highlight w:val="none"/>
        </w:rPr>
        <w:t>》，管理制度健全；</w:t>
      </w:r>
    </w:p>
    <w:p w14:paraId="11D75FC4">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4.2 本项目财务及业务管理制度符合《中华人民共和国政府采购法》、《中华人民共和国会计法》等相关法律法规，财务和业务管理制度已经过审批通过，确保了各项制度的合法合规性及完整性。</w:t>
      </w:r>
    </w:p>
    <w:p w14:paraId="5445E58F">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5.制度执行有效性</w:t>
      </w:r>
    </w:p>
    <w:p w14:paraId="5855E89F">
      <w:pPr>
        <w:pageBreakBefore w:val="0"/>
        <w:widowControl w:val="0"/>
        <w:kinsoku/>
        <w:wordWrap/>
        <w:overflowPunct/>
        <w:topLinePunct w:val="0"/>
        <w:autoSpaceDE/>
        <w:bidi w:val="0"/>
        <w:spacing w:line="56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5.1 项目的审批、招标、建设、验收过程均遵守相关法律法规和相关管理规定；</w:t>
      </w:r>
    </w:p>
    <w:p w14:paraId="35034C3E">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5.2 本项目无调整情况；</w:t>
      </w:r>
    </w:p>
    <w:p w14:paraId="3B2E8098">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项目实施的人员条件、场地设备、信息支撑等均已落实到位。</w:t>
      </w:r>
    </w:p>
    <w:p w14:paraId="436850DA">
      <w:pPr>
        <w:pStyle w:val="3"/>
        <w:pageBreakBefore w:val="0"/>
        <w:widowControl w:val="0"/>
        <w:kinsoku/>
        <w:wordWrap/>
        <w:overflowPunct/>
        <w:topLinePunct w:val="0"/>
        <w:autoSpaceDE/>
        <w:bidi w:val="0"/>
        <w:spacing w:before="0" w:after="0" w:line="560" w:lineRule="exact"/>
        <w:ind w:firstLine="643" w:firstLineChars="200"/>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（三）项目产出情况</w:t>
      </w:r>
    </w:p>
    <w:p w14:paraId="40358989">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审计局包联帮扶村乌克勒别依特村为民办实事经费项目截止到2023年12月31日，已完成</w:t>
      </w:r>
      <w:r>
        <w:rPr>
          <w:rFonts w:hint="eastAsia" w:ascii="仿宋_GB2312" w:hAnsi="仿宋_GB2312" w:eastAsia="仿宋_GB2312" w:cs="仿宋_GB2312"/>
          <w:color w:val="auto"/>
          <w:sz w:val="32"/>
          <w:szCs w:val="32"/>
          <w:highlight w:val="none"/>
          <w:lang w:eastAsia="zh-CN"/>
        </w:rPr>
        <w:t>如下任务</w:t>
      </w:r>
      <w:r>
        <w:rPr>
          <w:rFonts w:hint="eastAsia" w:ascii="仿宋_GB2312" w:hAnsi="仿宋_GB2312" w:eastAsia="仿宋_GB2312" w:cs="仿宋_GB2312"/>
          <w:i w:val="0"/>
          <w:caps w:val="0"/>
          <w:color w:val="auto"/>
          <w:spacing w:val="0"/>
          <w:sz w:val="32"/>
          <w:szCs w:val="32"/>
          <w:highlight w:val="none"/>
          <w:shd w:val="clear" w:fill="FFFFFF"/>
        </w:rPr>
        <w:t>：走访慰问人数30人，为民办实事件数6件，组织群众参观学习次数3次。我单位坚持“服务功能最大化、办公功能最小化”的原则，和乌克勒别依特村充分交通沟通，研究落实项目资金，2023年度帮扶乌克勒别依特村开展园林绿化项目，建设绿色养心村道；慰问退伍军人、老党员、残疾人群，每人发放大米、花生油、面粉各一袋；打造符合村民意愿的“石榴籽服务站”文化墙、展板，营造浓厚的宣传氛围</w:t>
      </w:r>
      <w:r>
        <w:rPr>
          <w:rFonts w:hint="eastAsia" w:ascii="仿宋_GB2312" w:hAnsi="仿宋_GB2312" w:eastAsia="仿宋_GB2312" w:cs="仿宋_GB2312"/>
          <w:color w:val="auto"/>
          <w:sz w:val="32"/>
          <w:szCs w:val="32"/>
          <w:highlight w:val="none"/>
        </w:rPr>
        <w:t>；其中：</w:t>
      </w:r>
    </w:p>
    <w:p w14:paraId="76ACC334">
      <w:pPr>
        <w:pageBreakBefore w:val="0"/>
        <w:widowControl w:val="0"/>
        <w:kinsoku/>
        <w:wordWrap/>
        <w:overflowPunct/>
        <w:topLinePunct w:val="0"/>
        <w:autoSpaceDE/>
        <w:bidi w:val="0"/>
        <w:spacing w:line="560" w:lineRule="exact"/>
        <w:ind w:firstLine="604" w:firstLineChars="188"/>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1.项目完成数量</w:t>
      </w:r>
    </w:p>
    <w:p w14:paraId="2E4C2DE6">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Fonts w:hint="eastAsia" w:ascii="仿宋_GB2312" w:hAnsi="仿宋_GB2312" w:eastAsia="仿宋_GB2312" w:cs="仿宋_GB2312"/>
          <w:color w:val="auto"/>
          <w:sz w:val="32"/>
          <w:szCs w:val="32"/>
          <w:highlight w:val="none"/>
          <w:lang w:eastAsia="zh-CN"/>
        </w:rPr>
        <w:t>走访慰问人数</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b w:val="0"/>
          <w:bCs/>
          <w:color w:val="auto"/>
          <w:sz w:val="32"/>
          <w:szCs w:val="32"/>
          <w:highlight w:val="none"/>
          <w:lang w:val="en-US" w:eastAsia="zh-CN"/>
        </w:rPr>
        <w:t>&gt;=5人</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30人</w:t>
      </w:r>
      <w:r>
        <w:rPr>
          <w:rFonts w:hint="eastAsia" w:ascii="仿宋_GB2312" w:hAnsi="仿宋_GB2312" w:eastAsia="仿宋_GB2312" w:cs="仿宋_GB2312"/>
          <w:color w:val="auto"/>
          <w:sz w:val="32"/>
          <w:szCs w:val="32"/>
          <w:highlight w:val="none"/>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p>
    <w:p w14:paraId="7776D941">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指标2：</w:t>
      </w:r>
      <w:r>
        <w:rPr>
          <w:rFonts w:hint="eastAsia" w:ascii="仿宋_GB2312" w:hAnsi="仿宋_GB2312" w:eastAsia="仿宋_GB2312" w:cs="仿宋_GB2312"/>
          <w:color w:val="auto"/>
          <w:sz w:val="32"/>
          <w:szCs w:val="32"/>
          <w:highlight w:val="none"/>
          <w:lang w:eastAsia="zh-CN"/>
        </w:rPr>
        <w:t>为民办实事件数</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b w:val="0"/>
          <w:bCs/>
          <w:color w:val="auto"/>
          <w:sz w:val="32"/>
          <w:szCs w:val="32"/>
          <w:highlight w:val="none"/>
          <w:lang w:val="en-US" w:eastAsia="zh-CN"/>
        </w:rPr>
        <w:t>&gt;=5件</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b w:val="0"/>
          <w:bCs/>
          <w:color w:val="auto"/>
          <w:sz w:val="32"/>
          <w:szCs w:val="32"/>
          <w:highlight w:val="none"/>
          <w:lang w:val="en-US" w:eastAsia="zh-CN"/>
        </w:rPr>
        <w:t>5件</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r>
        <w:rPr>
          <w:rFonts w:hint="eastAsia" w:ascii="仿宋_GB2312" w:hAnsi="仿宋_GB2312" w:eastAsia="仿宋_GB2312" w:cs="仿宋_GB2312"/>
          <w:color w:val="auto"/>
          <w:sz w:val="32"/>
          <w:szCs w:val="32"/>
          <w:highlight w:val="none"/>
          <w:lang w:eastAsia="zh-CN"/>
        </w:rPr>
        <w:t>；</w:t>
      </w:r>
    </w:p>
    <w:p w14:paraId="596E07E6">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组织群众参观学习次数</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b w:val="0"/>
          <w:bCs/>
          <w:color w:val="auto"/>
          <w:sz w:val="32"/>
          <w:szCs w:val="32"/>
          <w:highlight w:val="none"/>
          <w:lang w:val="en-US" w:eastAsia="zh-CN"/>
        </w:rPr>
        <w:t>&gt;=2次</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b w:val="0"/>
          <w:bCs/>
          <w:color w:val="auto"/>
          <w:sz w:val="32"/>
          <w:szCs w:val="32"/>
          <w:highlight w:val="none"/>
          <w:lang w:val="en-US" w:eastAsia="zh-CN"/>
        </w:rPr>
        <w:t>2次</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r>
        <w:rPr>
          <w:rFonts w:hint="eastAsia" w:ascii="仿宋_GB2312" w:hAnsi="仿宋_GB2312" w:eastAsia="仿宋_GB2312" w:cs="仿宋_GB2312"/>
          <w:color w:val="auto"/>
          <w:sz w:val="32"/>
          <w:szCs w:val="32"/>
          <w:highlight w:val="none"/>
          <w:lang w:eastAsia="zh-CN"/>
        </w:rPr>
        <w:t>。</w:t>
      </w:r>
    </w:p>
    <w:p w14:paraId="5B549C31">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2.项目完成质量：</w:t>
      </w:r>
    </w:p>
    <w:p w14:paraId="1EF4D506">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Fonts w:hint="eastAsia" w:ascii="仿宋_GB2312" w:hAnsi="仿宋_GB2312" w:eastAsia="仿宋_GB2312" w:cs="仿宋_GB2312"/>
          <w:color w:val="auto"/>
          <w:sz w:val="32"/>
          <w:szCs w:val="32"/>
          <w:highlight w:val="none"/>
          <w:lang w:eastAsia="zh-CN"/>
        </w:rPr>
        <w:t>困难群众帮扶率</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p>
    <w:p w14:paraId="585EA32B">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指标2：</w:t>
      </w:r>
      <w:r>
        <w:rPr>
          <w:rFonts w:hint="eastAsia" w:ascii="仿宋_GB2312" w:hAnsi="仿宋_GB2312" w:eastAsia="仿宋_GB2312" w:cs="仿宋_GB2312"/>
          <w:color w:val="auto"/>
          <w:sz w:val="32"/>
          <w:szCs w:val="32"/>
          <w:highlight w:val="none"/>
          <w:lang w:eastAsia="zh-CN"/>
        </w:rPr>
        <w:t>工作任务完成率</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r>
        <w:rPr>
          <w:rFonts w:hint="eastAsia" w:ascii="仿宋_GB2312" w:hAnsi="仿宋_GB2312" w:eastAsia="仿宋_GB2312" w:cs="仿宋_GB2312"/>
          <w:color w:val="auto"/>
          <w:sz w:val="32"/>
          <w:szCs w:val="32"/>
          <w:highlight w:val="none"/>
          <w:lang w:eastAsia="zh-CN"/>
        </w:rPr>
        <w:t>。</w:t>
      </w:r>
    </w:p>
    <w:p w14:paraId="7D0D11A1">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rPr>
        <w:t>3.项目完成时效</w:t>
      </w:r>
      <w:r>
        <w:rPr>
          <w:rFonts w:hint="eastAsia" w:ascii="仿宋_GB2312" w:hAnsi="仿宋_GB2312" w:cs="仿宋_GB2312"/>
          <w:b/>
          <w:bCs/>
          <w:color w:val="auto"/>
          <w:sz w:val="32"/>
          <w:szCs w:val="32"/>
          <w:highlight w:val="none"/>
          <w:lang w:eastAsia="zh-CN"/>
        </w:rPr>
        <w:t>：</w:t>
      </w:r>
    </w:p>
    <w:p w14:paraId="3A4F76B0">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Fonts w:hint="eastAsia" w:ascii="仿宋_GB2312" w:hAnsi="仿宋_GB2312" w:eastAsia="仿宋_GB2312" w:cs="仿宋_GB2312"/>
          <w:color w:val="auto"/>
          <w:sz w:val="32"/>
          <w:szCs w:val="32"/>
          <w:highlight w:val="none"/>
          <w:lang w:eastAsia="zh-CN"/>
        </w:rPr>
        <w:t>补贴发放及时率</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r>
        <w:rPr>
          <w:rFonts w:hint="eastAsia" w:ascii="仿宋_GB2312" w:hAnsi="仿宋_GB2312" w:eastAsia="仿宋_GB2312" w:cs="仿宋_GB2312"/>
          <w:color w:val="auto"/>
          <w:sz w:val="32"/>
          <w:szCs w:val="32"/>
          <w:highlight w:val="none"/>
          <w:lang w:eastAsia="zh-CN"/>
        </w:rPr>
        <w:t>。</w:t>
      </w:r>
    </w:p>
    <w:p w14:paraId="7EEFBF3E">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rPr>
        <w:t>4.项目完成成本</w:t>
      </w:r>
      <w:r>
        <w:rPr>
          <w:rFonts w:hint="eastAsia" w:ascii="仿宋_GB2312" w:hAnsi="仿宋_GB2312" w:cs="仿宋_GB2312"/>
          <w:b/>
          <w:bCs/>
          <w:color w:val="auto"/>
          <w:sz w:val="32"/>
          <w:szCs w:val="32"/>
          <w:highlight w:val="none"/>
          <w:lang w:eastAsia="zh-CN"/>
        </w:rPr>
        <w:t>：</w:t>
      </w:r>
    </w:p>
    <w:p w14:paraId="27CF5E25">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Fonts w:hint="eastAsia" w:ascii="仿宋_GB2312" w:hAnsi="仿宋_GB2312" w:eastAsia="仿宋_GB2312" w:cs="仿宋_GB2312"/>
          <w:color w:val="auto"/>
          <w:sz w:val="32"/>
          <w:szCs w:val="32"/>
          <w:highlight w:val="none"/>
          <w:lang w:eastAsia="zh-CN"/>
        </w:rPr>
        <w:t>慰问困难群众慰问金标准</w:t>
      </w:r>
      <w:r>
        <w:rPr>
          <w:rFonts w:hint="eastAsia" w:ascii="仿宋_GB2312" w:hAnsi="仿宋_GB2312" w:eastAsia="仿宋_GB2312" w:cs="仿宋_GB2312"/>
          <w:color w:val="auto"/>
          <w:sz w:val="32"/>
          <w:szCs w:val="32"/>
          <w:highlight w:val="none"/>
        </w:rPr>
        <w:t xml:space="preserve">，指标值：&lt;= </w:t>
      </w:r>
      <w:r>
        <w:rPr>
          <w:rFonts w:hint="eastAsia" w:ascii="仿宋_GB2312" w:hAnsi="仿宋_GB2312" w:eastAsia="仿宋_GB2312" w:cs="仿宋_GB2312"/>
          <w:color w:val="auto"/>
          <w:sz w:val="32"/>
          <w:szCs w:val="32"/>
          <w:highlight w:val="none"/>
          <w:lang w:val="en-US" w:eastAsia="zh-CN"/>
        </w:rPr>
        <w:t>500元</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200元</w:t>
      </w:r>
      <w:r>
        <w:rPr>
          <w:rFonts w:hint="eastAsia" w:ascii="仿宋_GB2312" w:hAnsi="仿宋_GB2312" w:eastAsia="仿宋_GB2312" w:cs="仿宋_GB2312"/>
          <w:color w:val="auto"/>
          <w:sz w:val="32"/>
          <w:szCs w:val="32"/>
          <w:highlight w:val="none"/>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p>
    <w:p w14:paraId="020D43B9">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指标2：用于困难群众房屋修缮、村道、桥涵等好事经费</w:t>
      </w:r>
      <w:r>
        <w:rPr>
          <w:rFonts w:hint="eastAsia" w:ascii="仿宋_GB2312" w:hAnsi="仿宋_GB2312" w:eastAsia="仿宋_GB2312" w:cs="仿宋_GB2312"/>
          <w:color w:val="auto"/>
          <w:sz w:val="32"/>
          <w:szCs w:val="32"/>
          <w:highlight w:val="none"/>
          <w:lang w:eastAsia="zh-CN"/>
        </w:rPr>
        <w:t>标准</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val="en-US" w:eastAsia="zh-CN"/>
        </w:rPr>
        <w:t>20000元</w:t>
      </w:r>
      <w:r>
        <w:rPr>
          <w:rFonts w:hint="eastAsia" w:ascii="仿宋_GB2312" w:hAnsi="仿宋_GB2312" w:eastAsia="仿宋_GB2312" w:cs="仿宋_GB2312"/>
          <w:color w:val="auto"/>
          <w:sz w:val="32"/>
          <w:szCs w:val="32"/>
          <w:highlight w:val="none"/>
        </w:rPr>
        <w:t xml:space="preserve"> ，实际完成值</w:t>
      </w:r>
      <w:r>
        <w:rPr>
          <w:rFonts w:hint="eastAsia" w:ascii="仿宋_GB2312" w:hAnsi="仿宋_GB2312" w:eastAsia="仿宋_GB2312" w:cs="仿宋_GB2312"/>
          <w:color w:val="auto"/>
          <w:sz w:val="32"/>
          <w:szCs w:val="32"/>
          <w:highlight w:val="none"/>
          <w:lang w:val="en-US" w:eastAsia="zh-CN"/>
        </w:rPr>
        <w:t>12600元</w:t>
      </w:r>
      <w:r>
        <w:rPr>
          <w:rFonts w:hint="eastAsia" w:ascii="仿宋_GB2312" w:hAnsi="仿宋_GB2312" w:eastAsia="仿宋_GB2312" w:cs="仿宋_GB2312"/>
          <w:color w:val="auto"/>
          <w:sz w:val="32"/>
          <w:szCs w:val="32"/>
          <w:highlight w:val="none"/>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p>
    <w:p w14:paraId="6C0D52B5">
      <w:pPr>
        <w:pStyle w:val="3"/>
        <w:pageBreakBefore w:val="0"/>
        <w:widowControl w:val="0"/>
        <w:kinsoku/>
        <w:wordWrap/>
        <w:overflowPunct/>
        <w:topLinePunct w:val="0"/>
        <w:autoSpaceDE/>
        <w:bidi w:val="0"/>
        <w:spacing w:before="0" w:after="0" w:line="560" w:lineRule="exact"/>
        <w:ind w:firstLine="643" w:firstLineChars="200"/>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（四）项目效益情况</w:t>
      </w:r>
    </w:p>
    <w:p w14:paraId="4165FFD1">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审计局包联帮扶村乌克勒别依特村为民办实事经费项目截止到2023年12月31日，已完成；其中：</w:t>
      </w:r>
    </w:p>
    <w:p w14:paraId="2209733B">
      <w:pPr>
        <w:pStyle w:val="14"/>
        <w:pageBreakBefore w:val="0"/>
        <w:widowControl w:val="0"/>
        <w:numPr>
          <w:ilvl w:val="0"/>
          <w:numId w:val="2"/>
        </w:numPr>
        <w:kinsoku/>
        <w:wordWrap/>
        <w:overflowPunct/>
        <w:topLinePunct w:val="0"/>
        <w:autoSpaceDE/>
        <w:bidi w:val="0"/>
        <w:spacing w:line="560" w:lineRule="exact"/>
        <w:ind w:firstLineChars="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项目实施的</w:t>
      </w:r>
      <w:r>
        <w:rPr>
          <w:rFonts w:hint="eastAsia" w:ascii="仿宋_GB2312" w:hAnsi="仿宋_GB2312" w:eastAsia="仿宋_GB2312" w:cs="仿宋_GB2312"/>
          <w:b/>
          <w:bCs/>
          <w:color w:val="auto"/>
          <w:sz w:val="32"/>
          <w:szCs w:val="32"/>
          <w:highlight w:val="none"/>
          <w:lang w:eastAsia="zh-CN"/>
        </w:rPr>
        <w:t>社会</w:t>
      </w:r>
      <w:r>
        <w:rPr>
          <w:rFonts w:hint="eastAsia" w:ascii="仿宋_GB2312" w:hAnsi="仿宋_GB2312" w:eastAsia="仿宋_GB2312" w:cs="仿宋_GB2312"/>
          <w:b/>
          <w:bCs/>
          <w:color w:val="auto"/>
          <w:sz w:val="32"/>
          <w:szCs w:val="32"/>
          <w:highlight w:val="none"/>
        </w:rPr>
        <w:t>效益</w:t>
      </w:r>
      <w:r>
        <w:rPr>
          <w:rFonts w:hint="eastAsia" w:ascii="仿宋_GB2312" w:hAnsi="仿宋_GB2312" w:eastAsia="仿宋_GB2312" w:cs="仿宋_GB2312"/>
          <w:b/>
          <w:bCs/>
          <w:color w:val="auto"/>
          <w:sz w:val="32"/>
          <w:szCs w:val="32"/>
          <w:highlight w:val="none"/>
          <w:lang w:eastAsia="zh-CN"/>
        </w:rPr>
        <w:t>指标</w:t>
      </w:r>
      <w:r>
        <w:rPr>
          <w:rFonts w:hint="eastAsia" w:ascii="仿宋_GB2312" w:hAnsi="仿宋_GB2312" w:eastAsia="仿宋_GB2312" w:cs="仿宋_GB2312"/>
          <w:b/>
          <w:bCs/>
          <w:color w:val="auto"/>
          <w:sz w:val="32"/>
          <w:szCs w:val="32"/>
          <w:highlight w:val="none"/>
        </w:rPr>
        <w:t>：</w:t>
      </w:r>
    </w:p>
    <w:p w14:paraId="1CBB780E">
      <w:pPr>
        <w:pStyle w:val="14"/>
        <w:pageBreakBefore w:val="0"/>
        <w:widowControl w:val="0"/>
        <w:kinsoku/>
        <w:wordWrap/>
        <w:overflowPunct/>
        <w:topLinePunct w:val="0"/>
        <w:autoSpaceDE/>
        <w:bidi w:val="0"/>
        <w:spacing w:line="56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Fonts w:hint="eastAsia" w:ascii="仿宋_GB2312" w:hAnsi="仿宋_GB2312" w:eastAsia="仿宋_GB2312" w:cs="仿宋_GB2312"/>
          <w:color w:val="auto"/>
          <w:sz w:val="32"/>
          <w:szCs w:val="32"/>
          <w:highlight w:val="none"/>
          <w:lang w:eastAsia="zh-CN"/>
        </w:rPr>
        <w:t>村民政策知晓率</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b w:val="0"/>
          <w:bCs/>
          <w:color w:val="auto"/>
          <w:sz w:val="32"/>
          <w:szCs w:val="32"/>
          <w:highlight w:val="none"/>
          <w:lang w:val="en-US" w:eastAsia="zh-CN"/>
        </w:rPr>
        <w:t>&gt;=90%</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p>
    <w:p w14:paraId="2FE444EB">
      <w:pPr>
        <w:pStyle w:val="14"/>
        <w:pageBreakBefore w:val="0"/>
        <w:widowControl w:val="0"/>
        <w:kinsoku/>
        <w:wordWrap/>
        <w:overflowPunct/>
        <w:topLinePunct w:val="0"/>
        <w:autoSpaceDE/>
        <w:bidi w:val="0"/>
        <w:spacing w:line="560" w:lineRule="exact"/>
        <w:ind w:left="420" w:firstLine="0" w:firstLineChars="0"/>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（五）满意度指标完成情况分析</w:t>
      </w:r>
    </w:p>
    <w:p w14:paraId="72DC2843">
      <w:pPr>
        <w:pStyle w:val="14"/>
        <w:pageBreakBefore w:val="0"/>
        <w:widowControl w:val="0"/>
        <w:kinsoku/>
        <w:wordWrap/>
        <w:overflowPunct/>
        <w:topLinePunct w:val="0"/>
        <w:autoSpaceDE/>
        <w:bidi w:val="0"/>
        <w:spacing w:line="560" w:lineRule="exact"/>
        <w:ind w:left="420" w:firstLine="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Fonts w:hint="eastAsia" w:ascii="仿宋_GB2312" w:hAnsi="仿宋_GB2312" w:eastAsia="仿宋_GB2312" w:cs="仿宋_GB2312"/>
          <w:color w:val="auto"/>
          <w:sz w:val="32"/>
          <w:szCs w:val="32"/>
          <w:highlight w:val="none"/>
          <w:lang w:eastAsia="zh-CN"/>
        </w:rPr>
        <w:t>收益群众满意度</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r>
        <w:rPr>
          <w:rFonts w:hint="eastAsia" w:ascii="仿宋_GB2312" w:hAnsi="仿宋_GB2312" w:eastAsia="仿宋_GB2312" w:cs="仿宋_GB2312"/>
          <w:color w:val="auto"/>
          <w:sz w:val="32"/>
          <w:szCs w:val="32"/>
          <w:highlight w:val="none"/>
          <w:lang w:eastAsia="zh-CN"/>
        </w:rPr>
        <w:t>。</w:t>
      </w:r>
    </w:p>
    <w:p w14:paraId="4E6CBE8E">
      <w:pPr>
        <w:pStyle w:val="2"/>
        <w:pageBreakBefore w:val="0"/>
        <w:widowControl w:val="0"/>
        <w:kinsoku/>
        <w:wordWrap/>
        <w:overflowPunct/>
        <w:topLinePunct w:val="0"/>
        <w:autoSpaceDE/>
        <w:bidi w:val="0"/>
        <w:spacing w:before="0" w:after="0" w:line="560" w:lineRule="exact"/>
        <w:ind w:firstLine="640" w:firstLineChars="200"/>
        <w:rPr>
          <w:rFonts w:hint="eastAsia" w:ascii="黑体" w:hAnsi="黑体" w:eastAsia="黑体" w:cs="黑体"/>
          <w:b w:val="0"/>
          <w:bCs w:val="0"/>
          <w:color w:val="auto"/>
          <w:sz w:val="32"/>
          <w:szCs w:val="32"/>
          <w:highlight w:val="none"/>
          <w:lang w:val="en-US" w:eastAsia="zh-CN"/>
        </w:rPr>
      </w:pPr>
      <w:bookmarkStart w:id="2" w:name="_Toc28962"/>
      <w:bookmarkStart w:id="3" w:name="_Toc6825"/>
      <w:r>
        <w:rPr>
          <w:rFonts w:hint="eastAsia" w:ascii="黑体" w:hAnsi="黑体" w:eastAsia="黑体" w:cs="黑体"/>
          <w:b w:val="0"/>
          <w:bCs w:val="0"/>
          <w:color w:val="auto"/>
          <w:sz w:val="32"/>
          <w:szCs w:val="32"/>
          <w:highlight w:val="none"/>
          <w:lang w:val="en-US" w:eastAsia="zh-CN"/>
        </w:rPr>
        <w:t>五、预算执行进度与绩效指标偏差</w:t>
      </w:r>
      <w:bookmarkEnd w:id="2"/>
      <w:bookmarkEnd w:id="3"/>
    </w:p>
    <w:p w14:paraId="20A5953A">
      <w:pPr>
        <w:pageBreakBefore w:val="0"/>
        <w:widowControl w:val="0"/>
        <w:kinsoku/>
        <w:wordWrap/>
        <w:overflowPunct/>
        <w:topLinePunct w:val="0"/>
        <w:autoSpaceDE/>
        <w:bidi w:val="0"/>
        <w:spacing w:line="560" w:lineRule="exact"/>
        <w:ind w:firstLine="643" w:firstLineChars="200"/>
        <w:rPr>
          <w:rFonts w:hint="eastAsia" w:ascii="楷体_GB2312" w:hAnsi="楷体_GB2312" w:eastAsia="楷体_GB2312" w:cs="楷体_GB2312"/>
          <w:b/>
          <w:bCs/>
          <w:color w:val="auto"/>
          <w:kern w:val="2"/>
          <w:sz w:val="32"/>
          <w:szCs w:val="32"/>
          <w:highlight w:val="none"/>
          <w:lang w:val="en-US" w:eastAsia="zh-CN" w:bidi="ar-SA"/>
        </w:rPr>
      </w:pPr>
      <w:bookmarkStart w:id="4" w:name="_Toc15026"/>
      <w:bookmarkStart w:id="5" w:name="_Toc10832"/>
      <w:r>
        <w:rPr>
          <w:rFonts w:hint="eastAsia" w:ascii="楷体_GB2312" w:hAnsi="楷体_GB2312" w:eastAsia="楷体_GB2312" w:cs="楷体_GB2312"/>
          <w:b/>
          <w:bCs/>
          <w:color w:val="auto"/>
          <w:kern w:val="2"/>
          <w:sz w:val="32"/>
          <w:szCs w:val="32"/>
          <w:highlight w:val="none"/>
          <w:lang w:val="en-US" w:eastAsia="zh-CN" w:bidi="ar-SA"/>
        </w:rPr>
        <w:t>（一）预算执行进度</w:t>
      </w:r>
      <w:bookmarkEnd w:id="4"/>
      <w:bookmarkEnd w:id="5"/>
    </w:p>
    <w:p w14:paraId="738E7DC3">
      <w:pPr>
        <w:pageBreakBefore w:val="0"/>
        <w:widowControl w:val="0"/>
        <w:kinsoku/>
        <w:wordWrap/>
        <w:overflowPunct/>
        <w:topLinePunct w:val="0"/>
        <w:autoSpaceDE/>
        <w:bidi w:val="0"/>
        <w:spacing w:line="560" w:lineRule="exact"/>
        <w:rPr>
          <w:rFonts w:hint="eastAsia" w:ascii="仿宋_GB2312" w:hAnsi="仿宋_GB2312" w:eastAsia="仿宋_GB2312" w:cs="仿宋_GB2312"/>
          <w:color w:val="auto"/>
          <w:sz w:val="32"/>
          <w:szCs w:val="32"/>
          <w:highlight w:val="none"/>
        </w:rPr>
      </w:pPr>
      <w:r>
        <w:rPr>
          <w:rFonts w:hint="eastAsia" w:ascii="仿宋_GB2312" w:hAnsi="黑体" w:cs="仿宋"/>
          <w:color w:val="auto"/>
          <w:szCs w:val="30"/>
          <w:highlight w:val="none"/>
        </w:rPr>
        <w:t xml:space="preserve">    </w:t>
      </w:r>
      <w:r>
        <w:rPr>
          <w:rFonts w:hint="eastAsia" w:ascii="仿宋_GB2312" w:hAnsi="仿宋_GB2312" w:eastAsia="仿宋_GB2312" w:cs="仿宋_GB2312"/>
          <w:color w:val="auto"/>
          <w:sz w:val="32"/>
          <w:szCs w:val="32"/>
          <w:highlight w:val="none"/>
          <w:lang w:eastAsia="zh-CN"/>
        </w:rPr>
        <w:t>木垒县审计局</w:t>
      </w:r>
      <w:r>
        <w:rPr>
          <w:rFonts w:hint="eastAsia" w:ascii="仿宋_GB2312" w:hAnsi="仿宋_GB2312" w:eastAsia="仿宋_GB2312" w:cs="仿宋_GB2312"/>
          <w:color w:val="auto"/>
          <w:sz w:val="32"/>
          <w:szCs w:val="32"/>
          <w:highlight w:val="none"/>
        </w:rPr>
        <w:t>截至2023年12月31日已执行</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万元，预算执行率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14:paraId="2755A5C9">
      <w:pPr>
        <w:pageBreakBefore w:val="0"/>
        <w:widowControl w:val="0"/>
        <w:numPr>
          <w:ilvl w:val="0"/>
          <w:numId w:val="0"/>
        </w:numPr>
        <w:kinsoku/>
        <w:wordWrap/>
        <w:overflowPunct/>
        <w:topLinePunct w:val="0"/>
        <w:autoSpaceDE/>
        <w:bidi w:val="0"/>
        <w:spacing w:line="560" w:lineRule="exact"/>
        <w:ind w:firstLine="643" w:firstLineChars="200"/>
        <w:rPr>
          <w:rFonts w:hint="eastAsia" w:ascii="楷体_GB2312" w:hAnsi="楷体_GB2312" w:eastAsia="楷体_GB2312" w:cs="楷体_GB2312"/>
          <w:b/>
          <w:bCs/>
          <w:color w:val="auto"/>
          <w:sz w:val="32"/>
          <w:szCs w:val="32"/>
          <w:highlight w:val="none"/>
        </w:rPr>
      </w:pPr>
      <w:bookmarkStart w:id="6" w:name="_Toc28090"/>
      <w:r>
        <w:rPr>
          <w:rFonts w:hint="eastAsia" w:ascii="楷体_GB2312" w:hAnsi="楷体_GB2312" w:eastAsia="楷体_GB2312" w:cs="楷体_GB2312"/>
          <w:b/>
          <w:bCs/>
          <w:color w:val="auto"/>
          <w:sz w:val="32"/>
          <w:szCs w:val="32"/>
          <w:highlight w:val="none"/>
          <w:lang w:eastAsia="zh-CN"/>
        </w:rPr>
        <w:t>（二）</w:t>
      </w:r>
      <w:r>
        <w:rPr>
          <w:rFonts w:hint="eastAsia" w:ascii="楷体_GB2312" w:hAnsi="楷体_GB2312" w:eastAsia="楷体_GB2312" w:cs="楷体_GB2312"/>
          <w:b/>
          <w:bCs/>
          <w:color w:val="auto"/>
          <w:sz w:val="32"/>
          <w:szCs w:val="32"/>
          <w:highlight w:val="none"/>
        </w:rPr>
        <w:t>绩效指标偏差</w:t>
      </w:r>
      <w:bookmarkEnd w:id="6"/>
    </w:p>
    <w:p w14:paraId="349F8E49">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本项目绩效指标存</w:t>
      </w:r>
      <w:r>
        <w:rPr>
          <w:rFonts w:hint="eastAsia" w:ascii="仿宋_GB2312" w:hAnsi="仿宋_GB2312" w:cs="仿宋_GB2312"/>
          <w:color w:val="auto"/>
          <w:sz w:val="32"/>
          <w:szCs w:val="32"/>
          <w:highlight w:val="none"/>
          <w:lang w:eastAsia="zh-CN"/>
        </w:rPr>
        <w:t>不</w:t>
      </w:r>
      <w:r>
        <w:rPr>
          <w:rFonts w:hint="eastAsia" w:ascii="仿宋_GB2312" w:hAnsi="仿宋_GB2312" w:eastAsia="仿宋_GB2312" w:cs="仿宋_GB2312"/>
          <w:color w:val="auto"/>
          <w:sz w:val="32"/>
          <w:szCs w:val="32"/>
          <w:highlight w:val="none"/>
        </w:rPr>
        <w:t>在偏差。</w:t>
      </w:r>
    </w:p>
    <w:p w14:paraId="69488940">
      <w:pPr>
        <w:pStyle w:val="2"/>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color w:val="auto"/>
          <w:sz w:val="32"/>
          <w:szCs w:val="32"/>
          <w:highlight w:val="none"/>
          <w:lang w:val="en-US" w:eastAsia="zh-CN"/>
        </w:rPr>
      </w:pPr>
      <w:bookmarkStart w:id="7" w:name="_Toc30012"/>
      <w:bookmarkStart w:id="8" w:name="_Toc17549"/>
      <w:r>
        <w:rPr>
          <w:rFonts w:hint="eastAsia" w:ascii="黑体" w:hAnsi="黑体" w:eastAsia="黑体" w:cs="黑体"/>
          <w:b w:val="0"/>
          <w:bCs w:val="0"/>
          <w:color w:val="auto"/>
          <w:sz w:val="32"/>
          <w:szCs w:val="32"/>
          <w:highlight w:val="none"/>
          <w:lang w:val="en-US" w:eastAsia="zh-CN"/>
        </w:rPr>
        <w:t>六、主要经验及做法、存在的问题及原因分析</w:t>
      </w:r>
      <w:bookmarkEnd w:id="7"/>
      <w:bookmarkEnd w:id="8"/>
    </w:p>
    <w:p w14:paraId="437FC31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val="0"/>
          <w:color w:val="auto"/>
          <w:sz w:val="32"/>
          <w:szCs w:val="32"/>
          <w:highlight w:val="none"/>
          <w:lang w:val="en-US" w:eastAsia="zh-CN"/>
        </w:rPr>
      </w:pPr>
      <w:bookmarkStart w:id="9" w:name="_Toc68703843"/>
      <w:bookmarkStart w:id="10" w:name="_Toc13398"/>
      <w:r>
        <w:rPr>
          <w:rFonts w:hint="eastAsia" w:ascii="楷体_GB2312" w:hAnsi="楷体_GB2312" w:eastAsia="楷体_GB2312" w:cs="楷体_GB2312"/>
          <w:b/>
          <w:bCs w:val="0"/>
          <w:color w:val="auto"/>
          <w:sz w:val="32"/>
          <w:szCs w:val="32"/>
          <w:highlight w:val="none"/>
          <w:lang w:val="en-US" w:eastAsia="zh-CN"/>
        </w:rPr>
        <w:t>（一）主要经验及做法</w:t>
      </w:r>
      <w:bookmarkEnd w:id="9"/>
      <w:bookmarkEnd w:id="10"/>
    </w:p>
    <w:p w14:paraId="0ECC65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bCs w:val="0"/>
          <w:color w:val="auto"/>
          <w:sz w:val="32"/>
          <w:szCs w:val="32"/>
          <w:highlight w:val="none"/>
          <w:lang w:val="en-US" w:eastAsia="zh-CN"/>
        </w:rPr>
        <w:t>一是领导高度重视</w:t>
      </w:r>
      <w:r>
        <w:rPr>
          <w:rFonts w:hint="eastAsia" w:ascii="仿宋_GB2312" w:hAnsi="仿宋_GB2312" w:eastAsia="仿宋_GB2312" w:cs="仿宋_GB2312"/>
          <w:b w:val="0"/>
          <w:bCs/>
          <w:color w:val="auto"/>
          <w:sz w:val="32"/>
          <w:szCs w:val="32"/>
          <w:highlight w:val="none"/>
          <w:lang w:val="en-US" w:eastAsia="zh-CN"/>
        </w:rPr>
        <w:t>。专项资金预算下拨后，主要领导和分管领导高度重视，落实责任分工，确保项目顺利进行。</w:t>
      </w:r>
    </w:p>
    <w:p w14:paraId="4E5FDE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bCs w:val="0"/>
          <w:color w:val="auto"/>
          <w:sz w:val="32"/>
          <w:szCs w:val="32"/>
          <w:highlight w:val="none"/>
          <w:lang w:val="en-US" w:eastAsia="zh-CN"/>
        </w:rPr>
        <w:t>二是加强项目管理和协调服务，全力推进项目建设</w:t>
      </w:r>
      <w:r>
        <w:rPr>
          <w:rFonts w:hint="eastAsia" w:ascii="仿宋_GB2312" w:hAnsi="仿宋_GB2312" w:eastAsia="仿宋_GB2312" w:cs="仿宋_GB2312"/>
          <w:b w:val="0"/>
          <w:bCs/>
          <w:color w:val="auto"/>
          <w:sz w:val="32"/>
          <w:szCs w:val="32"/>
          <w:highlight w:val="none"/>
          <w:lang w:val="en-US" w:eastAsia="zh-CN"/>
        </w:rPr>
        <w:t>。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p>
    <w:p w14:paraId="1F989C3A">
      <w:pPr>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rPr>
          <w:rFonts w:hint="eastAsia" w:ascii="楷体_GB2312" w:hAnsi="楷体_GB2312" w:eastAsia="楷体_GB2312" w:cs="楷体_GB2312"/>
          <w:b/>
          <w:bCs w:val="0"/>
          <w:color w:val="auto"/>
          <w:sz w:val="32"/>
          <w:szCs w:val="32"/>
          <w:highlight w:val="none"/>
          <w:lang w:val="en-US" w:eastAsia="zh-CN"/>
        </w:rPr>
      </w:pPr>
      <w:bookmarkStart w:id="11" w:name="_Toc16865"/>
      <w:bookmarkStart w:id="12" w:name="_Toc68703844"/>
      <w:r>
        <w:rPr>
          <w:rFonts w:hint="eastAsia" w:ascii="楷体_GB2312" w:hAnsi="楷体_GB2312" w:eastAsia="楷体_GB2312" w:cs="楷体_GB2312"/>
          <w:b/>
          <w:bCs w:val="0"/>
          <w:color w:val="auto"/>
          <w:sz w:val="32"/>
          <w:szCs w:val="32"/>
          <w:highlight w:val="none"/>
          <w:lang w:val="en-US" w:eastAsia="zh-CN"/>
        </w:rPr>
        <w:t>（二）后续工作计划</w:t>
      </w:r>
    </w:p>
    <w:p w14:paraId="41B205DC">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我们将进一步加强资金管理、项目管理，用制度、用规范来有效提高项目进度，专人负责资金、专人负责项目现场管理，确保该项目在既定时间内完成所有工程量，达到预期效果。</w:t>
      </w:r>
    </w:p>
    <w:p w14:paraId="05CEC896">
      <w:pPr>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rPr>
          <w:rFonts w:hint="eastAsia" w:ascii="楷体_GB2312" w:hAnsi="楷体_GB2312" w:eastAsia="楷体_GB2312" w:cs="楷体_GB2312"/>
          <w:b/>
          <w:bCs w:val="0"/>
          <w:color w:val="auto"/>
          <w:sz w:val="32"/>
          <w:szCs w:val="32"/>
          <w:highlight w:val="none"/>
          <w:lang w:val="en-US" w:eastAsia="zh-CN"/>
        </w:rPr>
      </w:pPr>
      <w:r>
        <w:rPr>
          <w:rFonts w:hint="eastAsia" w:ascii="楷体_GB2312" w:hAnsi="楷体_GB2312" w:eastAsia="楷体_GB2312" w:cs="楷体_GB2312"/>
          <w:b/>
          <w:bCs w:val="0"/>
          <w:color w:val="auto"/>
          <w:sz w:val="32"/>
          <w:szCs w:val="32"/>
          <w:highlight w:val="none"/>
          <w:lang w:val="en-US" w:eastAsia="zh-CN"/>
        </w:rPr>
        <w:t>（三)存在的问题及原因分析</w:t>
      </w:r>
      <w:bookmarkEnd w:id="11"/>
      <w:bookmarkEnd w:id="12"/>
    </w:p>
    <w:p w14:paraId="04761CBE">
      <w:pPr>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val="0"/>
          <w:color w:val="auto"/>
          <w:sz w:val="32"/>
          <w:szCs w:val="32"/>
          <w:highlight w:val="none"/>
          <w:lang w:val="en-US" w:eastAsia="zh-CN"/>
        </w:rPr>
      </w:pPr>
      <w:r>
        <w:rPr>
          <w:rFonts w:hint="eastAsia" w:ascii="仿宋_GB2312" w:hAnsi="仿宋_GB2312" w:eastAsia="仿宋_GB2312" w:cs="仿宋_GB2312"/>
          <w:b/>
          <w:bCs w:val="0"/>
          <w:color w:val="auto"/>
          <w:sz w:val="32"/>
          <w:szCs w:val="32"/>
          <w:highlight w:val="none"/>
          <w:lang w:val="en-US" w:eastAsia="zh-CN"/>
        </w:rPr>
        <w:t>1.存在的问题：</w:t>
      </w:r>
    </w:p>
    <w:p w14:paraId="0CC55A05">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14:paraId="2ED42D1F">
      <w:pPr>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val="0"/>
          <w:color w:val="auto"/>
          <w:sz w:val="32"/>
          <w:szCs w:val="32"/>
          <w:highlight w:val="none"/>
          <w:lang w:val="en-US" w:eastAsia="zh-CN"/>
        </w:rPr>
      </w:pPr>
      <w:r>
        <w:rPr>
          <w:rFonts w:hint="eastAsia" w:ascii="仿宋_GB2312" w:hAnsi="仿宋_GB2312" w:eastAsia="仿宋_GB2312" w:cs="仿宋_GB2312"/>
          <w:b/>
          <w:bCs w:val="0"/>
          <w:color w:val="auto"/>
          <w:sz w:val="32"/>
          <w:szCs w:val="32"/>
          <w:highlight w:val="none"/>
          <w:lang w:val="en-US" w:eastAsia="zh-CN"/>
        </w:rPr>
        <w:t>2.改进措施：</w:t>
      </w:r>
    </w:p>
    <w:p w14:paraId="50838837">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（1）科学编制预算，提高预算与目标匹配度</w:t>
      </w:r>
    </w:p>
    <w:p w14:paraId="085EE1CA">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14:paraId="3036D170">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对此，预算单位会同财政部门共同梳理项目绩效目标，合理测算项目工作量，科学编制预算。</w:t>
      </w:r>
    </w:p>
    <w:p w14:paraId="0EB7E530">
      <w:pPr>
        <w:keepNext w:val="0"/>
        <w:keepLines w:val="0"/>
        <w:pageBreakBefore w:val="0"/>
        <w:widowControl w:val="0"/>
        <w:numPr>
          <w:ilvl w:val="0"/>
          <w:numId w:val="0"/>
        </w:numPr>
        <w:kinsoku/>
        <w:wordWrap/>
        <w:overflowPunct/>
        <w:topLinePunct w:val="0"/>
        <w:autoSpaceDE/>
        <w:autoSpaceDN/>
        <w:bidi w:val="0"/>
        <w:spacing w:line="560" w:lineRule="exact"/>
        <w:textAlignment w:val="auto"/>
        <w:rPr>
          <w:rStyle w:val="11"/>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color w:val="auto"/>
          <w:sz w:val="32"/>
          <w:szCs w:val="32"/>
          <w:highlight w:val="none"/>
          <w:lang w:val="en-US" w:eastAsia="zh-CN"/>
        </w:rPr>
        <w:t xml:space="preserve"> </w:t>
      </w:r>
      <w:r>
        <w:rPr>
          <w:rFonts w:hint="eastAsia" w:ascii="仿宋_GB2312" w:hAnsi="仿宋_GB2312" w:eastAsia="仿宋_GB2312" w:cs="仿宋_GB2312"/>
          <w:b w:val="0"/>
          <w:bCs w:val="0"/>
          <w:color w:val="auto"/>
          <w:kern w:val="44"/>
          <w:sz w:val="32"/>
          <w:szCs w:val="32"/>
          <w:highlight w:val="none"/>
          <w:lang w:val="en-US" w:eastAsia="zh-CN" w:bidi="ar-SA"/>
        </w:rPr>
        <w:t xml:space="preserve">   </w:t>
      </w:r>
      <w:r>
        <w:rPr>
          <w:rFonts w:hint="eastAsia" w:ascii="黑体" w:hAnsi="黑体" w:eastAsia="黑体" w:cs="黑体"/>
          <w:b w:val="0"/>
          <w:bCs w:val="0"/>
          <w:color w:val="auto"/>
          <w:kern w:val="44"/>
          <w:sz w:val="32"/>
          <w:szCs w:val="32"/>
          <w:highlight w:val="none"/>
          <w:lang w:val="en-US" w:eastAsia="zh-CN" w:bidi="ar-SA"/>
        </w:rPr>
        <w:t>七、有关建议</w:t>
      </w:r>
    </w:p>
    <w:p w14:paraId="2CD75518">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健全制度，加强督促。针对项目实施中存在的问题，进一步完善相关制度，加强督促检查，确保质量安全和建设进度；同时及时完善资料，妥善保管档案。</w:t>
      </w:r>
    </w:p>
    <w:p w14:paraId="271FDEDF">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黑体" w:hAnsi="黑体" w:eastAsia="黑体" w:cs="黑体"/>
          <w:b w:val="0"/>
          <w:bCs w:val="0"/>
          <w:color w:val="auto"/>
          <w:kern w:val="44"/>
          <w:sz w:val="32"/>
          <w:szCs w:val="32"/>
          <w:highlight w:val="none"/>
          <w:lang w:val="en-US" w:eastAsia="zh-CN" w:bidi="ar-SA"/>
        </w:rPr>
      </w:pPr>
      <w:r>
        <w:rPr>
          <w:rFonts w:hint="eastAsia" w:ascii="黑体" w:hAnsi="黑体" w:eastAsia="黑体" w:cs="黑体"/>
          <w:b w:val="0"/>
          <w:bCs w:val="0"/>
          <w:color w:val="auto"/>
          <w:kern w:val="44"/>
          <w:sz w:val="32"/>
          <w:szCs w:val="32"/>
          <w:highlight w:val="none"/>
          <w:lang w:val="en-US" w:eastAsia="zh-CN" w:bidi="ar-SA"/>
        </w:rPr>
        <w:t>八、其他需要说明的问题</w:t>
      </w:r>
    </w:p>
    <w:p w14:paraId="0CA58BE0">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(一）本项目部分间接产生效果无法准确在短期内衡量，因此很难认定项目产出的全部效果，通过指标来反映绩效，指标的科学性和全面性需要不断的完善和研究。</w:t>
      </w:r>
    </w:p>
    <w:p w14:paraId="7E545FA0">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（二）我单位对上述项目支出绩效评价报告反映内容的真实性、完整性负责，接受上级部门及社会公众监督。</w:t>
      </w:r>
    </w:p>
    <w:p w14:paraId="5A8BB484">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p>
    <w:p w14:paraId="1526E33A">
      <w:pPr>
        <w:pageBreakBefore w:val="0"/>
        <w:widowControl w:val="0"/>
        <w:kinsoku/>
        <w:wordWrap/>
        <w:overflowPunct/>
        <w:topLinePunct w:val="0"/>
        <w:autoSpaceDE/>
        <w:bidi w:val="0"/>
        <w:spacing w:line="560" w:lineRule="exact"/>
        <w:jc w:val="center"/>
        <w:rPr>
          <w:b/>
          <w:bCs/>
          <w:color w:val="auto"/>
          <w:highlight w:val="none"/>
        </w:rPr>
      </w:pPr>
      <w:r>
        <w:rPr>
          <w:rFonts w:hint="eastAsia"/>
          <w:b/>
          <w:bCs/>
          <w:color w:val="auto"/>
          <w:highlight w:val="none"/>
        </w:rPr>
        <w:t>项目支出绩效评价指标体系框架（参考）</w:t>
      </w:r>
    </w:p>
    <w:p w14:paraId="6A3D96F6">
      <w:pPr>
        <w:pageBreakBefore w:val="0"/>
        <w:widowControl w:val="0"/>
        <w:kinsoku/>
        <w:wordWrap/>
        <w:overflowPunct/>
        <w:topLinePunct w:val="0"/>
        <w:autoSpaceDE/>
        <w:bidi w:val="0"/>
        <w:spacing w:line="560" w:lineRule="exact"/>
        <w:rPr>
          <w:b/>
          <w:bCs/>
          <w:color w:val="auto"/>
          <w:highlight w:val="none"/>
        </w:rPr>
      </w:pPr>
    </w:p>
    <w:tbl>
      <w:tblPr>
        <w:tblStyle w:val="9"/>
        <w:tblW w:w="1572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191"/>
        <w:gridCol w:w="4819"/>
        <w:gridCol w:w="5670"/>
        <w:gridCol w:w="992"/>
        <w:gridCol w:w="993"/>
      </w:tblGrid>
      <w:tr w14:paraId="2CA7A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3092B3">
            <w:pPr>
              <w:pageBreakBefore w:val="0"/>
              <w:widowControl w:val="0"/>
              <w:kinsoku/>
              <w:wordWrap/>
              <w:overflowPunct/>
              <w:topLinePunct w:val="0"/>
              <w:autoSpaceDE/>
              <w:bidi w:val="0"/>
              <w:spacing w:line="560" w:lineRule="exact"/>
              <w:rPr>
                <w:b/>
                <w:bCs/>
                <w:color w:val="auto"/>
                <w:sz w:val="24"/>
                <w:highlight w:val="none"/>
              </w:rPr>
            </w:pPr>
            <w:r>
              <w:rPr>
                <w:rFonts w:hint="eastAsia"/>
                <w:b/>
                <w:bCs/>
                <w:color w:val="auto"/>
                <w:sz w:val="24"/>
                <w:highlight w:val="none"/>
              </w:rPr>
              <w:t>一级指标</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5DB178">
            <w:pPr>
              <w:pageBreakBefore w:val="0"/>
              <w:widowControl w:val="0"/>
              <w:kinsoku/>
              <w:wordWrap/>
              <w:overflowPunct/>
              <w:topLinePunct w:val="0"/>
              <w:autoSpaceDE/>
              <w:bidi w:val="0"/>
              <w:spacing w:line="560" w:lineRule="exact"/>
              <w:rPr>
                <w:b/>
                <w:bCs/>
                <w:color w:val="auto"/>
                <w:sz w:val="24"/>
                <w:highlight w:val="none"/>
              </w:rPr>
            </w:pPr>
            <w:r>
              <w:rPr>
                <w:rFonts w:hint="eastAsia"/>
                <w:b/>
                <w:bCs/>
                <w:color w:val="auto"/>
                <w:sz w:val="24"/>
                <w:highlight w:val="none"/>
              </w:rPr>
              <w:t>二级指标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172F5F">
            <w:pPr>
              <w:pageBreakBefore w:val="0"/>
              <w:widowControl w:val="0"/>
              <w:kinsoku/>
              <w:wordWrap/>
              <w:overflowPunct/>
              <w:topLinePunct w:val="0"/>
              <w:autoSpaceDE/>
              <w:bidi w:val="0"/>
              <w:spacing w:line="560" w:lineRule="exact"/>
              <w:rPr>
                <w:b/>
                <w:bCs/>
                <w:color w:val="auto"/>
                <w:sz w:val="24"/>
                <w:highlight w:val="none"/>
              </w:rPr>
            </w:pPr>
            <w:r>
              <w:rPr>
                <w:rFonts w:hint="eastAsia"/>
                <w:b/>
                <w:bCs/>
                <w:color w:val="auto"/>
                <w:sz w:val="24"/>
                <w:highlight w:val="none"/>
              </w:rPr>
              <w:t>三级指标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62A46A">
            <w:pPr>
              <w:pageBreakBefore w:val="0"/>
              <w:widowControl w:val="0"/>
              <w:kinsoku/>
              <w:wordWrap/>
              <w:overflowPunct/>
              <w:topLinePunct w:val="0"/>
              <w:autoSpaceDE/>
              <w:bidi w:val="0"/>
              <w:spacing w:line="560" w:lineRule="exact"/>
              <w:jc w:val="center"/>
              <w:rPr>
                <w:b/>
                <w:bCs/>
                <w:color w:val="auto"/>
                <w:sz w:val="24"/>
                <w:highlight w:val="none"/>
              </w:rPr>
            </w:pPr>
            <w:r>
              <w:rPr>
                <w:rFonts w:hint="eastAsia"/>
                <w:b/>
                <w:bCs/>
                <w:color w:val="auto"/>
                <w:sz w:val="24"/>
                <w:highlight w:val="none"/>
              </w:rPr>
              <w:t>指标解释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D40956">
            <w:pPr>
              <w:pageBreakBefore w:val="0"/>
              <w:widowControl w:val="0"/>
              <w:kinsoku/>
              <w:wordWrap/>
              <w:overflowPunct/>
              <w:topLinePunct w:val="0"/>
              <w:autoSpaceDE/>
              <w:bidi w:val="0"/>
              <w:spacing w:line="560" w:lineRule="exact"/>
              <w:jc w:val="center"/>
              <w:rPr>
                <w:b/>
                <w:bCs/>
                <w:color w:val="auto"/>
                <w:sz w:val="24"/>
                <w:highlight w:val="none"/>
              </w:rPr>
            </w:pPr>
            <w:r>
              <w:rPr>
                <w:rFonts w:hint="eastAsia"/>
                <w:b/>
                <w:bCs/>
                <w:color w:val="auto"/>
                <w:sz w:val="24"/>
                <w:highlight w:val="none"/>
              </w:rPr>
              <w:t>指标说明</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5699FCDE">
            <w:pPr>
              <w:pageBreakBefore w:val="0"/>
              <w:widowControl w:val="0"/>
              <w:kinsoku/>
              <w:wordWrap/>
              <w:overflowPunct/>
              <w:topLinePunct w:val="0"/>
              <w:autoSpaceDE/>
              <w:bidi w:val="0"/>
              <w:spacing w:line="560" w:lineRule="exact"/>
              <w:rPr>
                <w:b/>
                <w:bCs/>
                <w:color w:val="auto"/>
                <w:sz w:val="24"/>
                <w:highlight w:val="none"/>
              </w:rPr>
            </w:pPr>
            <w:r>
              <w:rPr>
                <w:rFonts w:hint="eastAsia"/>
                <w:b/>
                <w:bCs/>
                <w:color w:val="auto"/>
                <w:sz w:val="24"/>
                <w:highlight w:val="none"/>
              </w:rPr>
              <w:t>分值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248C7B49">
            <w:pPr>
              <w:pageBreakBefore w:val="0"/>
              <w:widowControl w:val="0"/>
              <w:kinsoku/>
              <w:wordWrap/>
              <w:overflowPunct/>
              <w:topLinePunct w:val="0"/>
              <w:autoSpaceDE/>
              <w:bidi w:val="0"/>
              <w:spacing w:line="560" w:lineRule="exact"/>
              <w:rPr>
                <w:b/>
                <w:bCs/>
                <w:color w:val="auto"/>
                <w:sz w:val="24"/>
                <w:highlight w:val="none"/>
              </w:rPr>
            </w:pPr>
            <w:r>
              <w:rPr>
                <w:rFonts w:hint="eastAsia"/>
                <w:b/>
                <w:bCs/>
                <w:color w:val="auto"/>
                <w:sz w:val="24"/>
                <w:highlight w:val="none"/>
              </w:rPr>
              <w:t>得分</w:t>
            </w:r>
          </w:p>
        </w:tc>
      </w:tr>
      <w:tr w14:paraId="3466F7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71F82C">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决策　</w:t>
            </w:r>
          </w:p>
          <w:p w14:paraId="2FC2EE9D">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　</w:t>
            </w:r>
          </w:p>
          <w:p w14:paraId="36874672">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5A1433">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项目立项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D77B0">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立项依据</w:t>
            </w:r>
          </w:p>
          <w:p w14:paraId="075CADD1">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充分性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D169F6">
            <w:pPr>
              <w:pageBreakBefore w:val="0"/>
              <w:widowControl w:val="0"/>
              <w:kinsoku/>
              <w:wordWrap/>
              <w:overflowPunct/>
              <w:topLinePunct w:val="0"/>
              <w:autoSpaceDE/>
              <w:bidi w:val="0"/>
              <w:spacing w:line="560" w:lineRule="exact"/>
              <w:jc w:val="center"/>
              <w:rPr>
                <w:color w:val="auto"/>
                <w:sz w:val="24"/>
                <w:highlight w:val="none"/>
              </w:rPr>
            </w:pPr>
            <w:r>
              <w:rPr>
                <w:rFonts w:hint="eastAsia"/>
                <w:color w:val="auto"/>
                <w:sz w:val="24"/>
                <w:highlight w:val="none"/>
              </w:rPr>
              <w:t>项目立项是否符合法律法规、相关政策、发展规划以及部门职责，用以反映和考核项目立项依据情况。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6EB1FF">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①项目立项是否符合国家法律法规、国民经济发展规划和相关政策；</w:t>
            </w:r>
            <w:r>
              <w:rPr>
                <w:rFonts w:hint="eastAsia"/>
                <w:color w:val="auto"/>
                <w:sz w:val="24"/>
                <w:highlight w:val="none"/>
              </w:rPr>
              <w:br w:type="textWrapping"/>
            </w:r>
            <w:r>
              <w:rPr>
                <w:rFonts w:hint="eastAsia"/>
                <w:color w:val="auto"/>
                <w:sz w:val="24"/>
                <w:highlight w:val="none"/>
              </w:rPr>
              <w:t>②项目立项是否符合行业发展规划和政策要求；</w:t>
            </w:r>
            <w:r>
              <w:rPr>
                <w:rFonts w:hint="eastAsia"/>
                <w:color w:val="auto"/>
                <w:sz w:val="24"/>
                <w:highlight w:val="none"/>
              </w:rPr>
              <w:br w:type="textWrapping"/>
            </w:r>
            <w:r>
              <w:rPr>
                <w:rFonts w:hint="eastAsia"/>
                <w:color w:val="auto"/>
                <w:sz w:val="24"/>
                <w:highlight w:val="none"/>
              </w:rPr>
              <w:t>③项目立项是否与部门职责范围相符，属于部门履职所需；</w:t>
            </w:r>
            <w:r>
              <w:rPr>
                <w:rFonts w:hint="eastAsia"/>
                <w:color w:val="auto"/>
                <w:sz w:val="24"/>
                <w:highlight w:val="none"/>
              </w:rPr>
              <w:br w:type="textWrapping"/>
            </w:r>
            <w:r>
              <w:rPr>
                <w:rFonts w:hint="eastAsia"/>
                <w:color w:val="auto"/>
                <w:sz w:val="24"/>
                <w:highlight w:val="none"/>
              </w:rPr>
              <w:t>④项目是否属于公共财政支持范围，是否符合中央、地方事权支出责任划分原则；</w:t>
            </w:r>
            <w:r>
              <w:rPr>
                <w:rFonts w:hint="eastAsia"/>
                <w:color w:val="auto"/>
                <w:sz w:val="24"/>
                <w:highlight w:val="none"/>
              </w:rPr>
              <w:br w:type="textWrapping"/>
            </w:r>
            <w:r>
              <w:rPr>
                <w:rFonts w:hint="eastAsia"/>
                <w:color w:val="auto"/>
                <w:sz w:val="24"/>
                <w:highlight w:val="none"/>
              </w:rPr>
              <w:t>⑤项目是否与相关部门同类项目或部门内部相关项目重复。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59EC3BBA">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55DB11D4">
            <w:pPr>
              <w:pageBreakBefore w:val="0"/>
              <w:widowControl w:val="0"/>
              <w:kinsoku/>
              <w:wordWrap/>
              <w:overflowPunct/>
              <w:topLinePunct w:val="0"/>
              <w:autoSpaceDE/>
              <w:bidi w:val="0"/>
              <w:spacing w:line="560" w:lineRule="exact"/>
              <w:rPr>
                <w:color w:val="auto"/>
                <w:sz w:val="24"/>
                <w:highlight w:val="none"/>
              </w:rPr>
            </w:pPr>
          </w:p>
        </w:tc>
      </w:tr>
      <w:tr w14:paraId="66B5EC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664D6467">
            <w:pPr>
              <w:pageBreakBefore w:val="0"/>
              <w:widowControl w:val="0"/>
              <w:kinsoku/>
              <w:wordWrap/>
              <w:overflowPunct/>
              <w:topLinePunct w:val="0"/>
              <w:autoSpaceDE/>
              <w:bidi w:val="0"/>
              <w:spacing w:line="560" w:lineRule="exact"/>
              <w:rPr>
                <w:color w:val="auto"/>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5D1B5CA1">
            <w:pPr>
              <w:pageBreakBefore w:val="0"/>
              <w:widowControl w:val="0"/>
              <w:kinsoku/>
              <w:wordWrap/>
              <w:overflowPunct/>
              <w:topLinePunct w:val="0"/>
              <w:autoSpaceDE/>
              <w:bidi w:val="0"/>
              <w:spacing w:line="560" w:lineRule="exact"/>
              <w:rPr>
                <w:color w:val="auto"/>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FC224">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立项程序</w:t>
            </w:r>
          </w:p>
          <w:p w14:paraId="36CFC6FF">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规范性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29BD96">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项目申请、设立过程是否符合相关要求，用以反映和考核项目立项的规范情况。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5EB6AE">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①项目是否按照规定的程序申请设立；</w:t>
            </w:r>
            <w:r>
              <w:rPr>
                <w:rFonts w:hint="eastAsia"/>
                <w:color w:val="auto"/>
                <w:sz w:val="24"/>
                <w:highlight w:val="none"/>
              </w:rPr>
              <w:br w:type="textWrapping"/>
            </w:r>
            <w:r>
              <w:rPr>
                <w:rFonts w:hint="eastAsia"/>
                <w:color w:val="auto"/>
                <w:sz w:val="24"/>
                <w:highlight w:val="none"/>
              </w:rPr>
              <w:t>②审批文件、材料是否符合相关要求；</w:t>
            </w:r>
            <w:r>
              <w:rPr>
                <w:rFonts w:hint="eastAsia"/>
                <w:color w:val="auto"/>
                <w:sz w:val="24"/>
                <w:highlight w:val="none"/>
              </w:rPr>
              <w:br w:type="textWrapping"/>
            </w:r>
            <w:r>
              <w:rPr>
                <w:rFonts w:hint="eastAsia"/>
                <w:color w:val="auto"/>
                <w:sz w:val="24"/>
                <w:highlight w:val="none"/>
              </w:rPr>
              <w:t>③事前是否已经过必要的可行性研究、专家论证、风险评估、绩效评估、集体决策。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5F043B2">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123A7623">
            <w:pPr>
              <w:pageBreakBefore w:val="0"/>
              <w:widowControl w:val="0"/>
              <w:kinsoku/>
              <w:wordWrap/>
              <w:overflowPunct/>
              <w:topLinePunct w:val="0"/>
              <w:autoSpaceDE/>
              <w:bidi w:val="0"/>
              <w:spacing w:line="560" w:lineRule="exact"/>
              <w:rPr>
                <w:color w:val="auto"/>
                <w:sz w:val="24"/>
                <w:highlight w:val="none"/>
              </w:rPr>
            </w:pPr>
          </w:p>
        </w:tc>
      </w:tr>
      <w:tr w14:paraId="2AA9D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0A4A8CD1">
            <w:pPr>
              <w:pageBreakBefore w:val="0"/>
              <w:widowControl w:val="0"/>
              <w:kinsoku/>
              <w:wordWrap/>
              <w:overflowPunct/>
              <w:topLinePunct w:val="0"/>
              <w:autoSpaceDE/>
              <w:bidi w:val="0"/>
              <w:spacing w:line="560" w:lineRule="exact"/>
              <w:rPr>
                <w:color w:val="auto"/>
                <w:sz w:val="24"/>
                <w:highlight w:val="none"/>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CE089A">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绩效目标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47377D">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绩效目标</w:t>
            </w:r>
          </w:p>
          <w:p w14:paraId="397A2D99">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ED259C">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项目所设定的绩效目标是否依据充分，是否符合客观实际，用以反映和考核项目绩效目标与项目实施的相符情况。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624BA6">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（如未设定预算绩效目标，也可考核其他工作任务目标）</w:t>
            </w:r>
            <w:r>
              <w:rPr>
                <w:rFonts w:hint="eastAsia"/>
                <w:color w:val="auto"/>
                <w:sz w:val="24"/>
                <w:highlight w:val="none"/>
              </w:rPr>
              <w:br w:type="textWrapping"/>
            </w:r>
            <w:r>
              <w:rPr>
                <w:rFonts w:hint="eastAsia"/>
                <w:color w:val="auto"/>
                <w:sz w:val="24"/>
                <w:highlight w:val="none"/>
              </w:rPr>
              <w:t>①项目是否有绩效目标；</w:t>
            </w:r>
            <w:r>
              <w:rPr>
                <w:rFonts w:hint="eastAsia"/>
                <w:color w:val="auto"/>
                <w:sz w:val="24"/>
                <w:highlight w:val="none"/>
              </w:rPr>
              <w:br w:type="textWrapping"/>
            </w:r>
            <w:r>
              <w:rPr>
                <w:rFonts w:hint="eastAsia"/>
                <w:color w:val="auto"/>
                <w:sz w:val="24"/>
                <w:highlight w:val="none"/>
              </w:rPr>
              <w:t>②项目绩效目标与实际工作内容是否具有相关性；</w:t>
            </w:r>
            <w:r>
              <w:rPr>
                <w:rFonts w:hint="eastAsia"/>
                <w:color w:val="auto"/>
                <w:sz w:val="24"/>
                <w:highlight w:val="none"/>
              </w:rPr>
              <w:br w:type="textWrapping"/>
            </w:r>
            <w:r>
              <w:rPr>
                <w:rFonts w:hint="eastAsia"/>
                <w:color w:val="auto"/>
                <w:sz w:val="24"/>
                <w:highlight w:val="none"/>
              </w:rPr>
              <w:t>③项目预期产出效益和效果是否符合正常的业绩水平；</w:t>
            </w:r>
          </w:p>
          <w:p w14:paraId="1F615C14">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④是否与预算确定的项目投资额或资金量相匹配。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07F2C237">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16ACBB3F">
            <w:pPr>
              <w:pageBreakBefore w:val="0"/>
              <w:widowControl w:val="0"/>
              <w:kinsoku/>
              <w:wordWrap/>
              <w:overflowPunct/>
              <w:topLinePunct w:val="0"/>
              <w:autoSpaceDE/>
              <w:bidi w:val="0"/>
              <w:spacing w:line="560" w:lineRule="exact"/>
              <w:rPr>
                <w:color w:val="auto"/>
                <w:sz w:val="24"/>
                <w:highlight w:val="none"/>
              </w:rPr>
            </w:pPr>
          </w:p>
        </w:tc>
      </w:tr>
      <w:tr w14:paraId="2E0342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C835722">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决策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8D398B">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绩效目标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EEDF51">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绩效指标</w:t>
            </w:r>
          </w:p>
          <w:p w14:paraId="1D36C4EB">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明确性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D4FC15">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依据绩效目标设定的绩效指标是否清晰、细化、可衡量等，用以反映和考核项目绩效目标的明细化情况。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92FCF9">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①是否将项目绩效目标细化分解为具体的绩效指标；</w:t>
            </w:r>
            <w:r>
              <w:rPr>
                <w:rFonts w:hint="eastAsia"/>
                <w:color w:val="auto"/>
                <w:sz w:val="24"/>
                <w:highlight w:val="none"/>
              </w:rPr>
              <w:br w:type="textWrapping"/>
            </w:r>
            <w:r>
              <w:rPr>
                <w:rFonts w:hint="eastAsia"/>
                <w:color w:val="auto"/>
                <w:sz w:val="24"/>
                <w:highlight w:val="none"/>
              </w:rPr>
              <w:t>②是否通过清晰、可衡量的指标值予以体现；</w:t>
            </w:r>
            <w:r>
              <w:rPr>
                <w:rFonts w:hint="eastAsia"/>
                <w:color w:val="auto"/>
                <w:sz w:val="24"/>
                <w:highlight w:val="none"/>
              </w:rPr>
              <w:br w:type="textWrapping"/>
            </w:r>
            <w:r>
              <w:rPr>
                <w:rFonts w:hint="eastAsia"/>
                <w:color w:val="auto"/>
                <w:sz w:val="24"/>
                <w:highlight w:val="none"/>
              </w:rPr>
              <w:t>③是否与项目目标任务数或计划数相对应。</w:t>
            </w:r>
            <w:r>
              <w:rPr>
                <w:rFonts w:hint="eastAsia"/>
                <w:color w:val="auto"/>
                <w:sz w:val="24"/>
                <w:highlight w:val="none"/>
              </w:rPr>
              <w:br w:type="textWrapping"/>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640849D">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5A484F8E">
            <w:pPr>
              <w:pageBreakBefore w:val="0"/>
              <w:widowControl w:val="0"/>
              <w:kinsoku/>
              <w:wordWrap/>
              <w:overflowPunct/>
              <w:topLinePunct w:val="0"/>
              <w:autoSpaceDE/>
              <w:bidi w:val="0"/>
              <w:spacing w:line="560" w:lineRule="exact"/>
              <w:rPr>
                <w:color w:val="auto"/>
                <w:sz w:val="24"/>
                <w:highlight w:val="none"/>
              </w:rPr>
            </w:pPr>
          </w:p>
        </w:tc>
      </w:tr>
      <w:tr w14:paraId="1D569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5624BFD1">
            <w:pPr>
              <w:pageBreakBefore w:val="0"/>
              <w:widowControl w:val="0"/>
              <w:kinsoku/>
              <w:wordWrap/>
              <w:overflowPunct/>
              <w:topLinePunct w:val="0"/>
              <w:autoSpaceDE/>
              <w:bidi w:val="0"/>
              <w:spacing w:line="560" w:lineRule="exact"/>
              <w:rPr>
                <w:color w:val="auto"/>
                <w:sz w:val="24"/>
                <w:highlight w:val="none"/>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C0E1151">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资金投入</w:t>
            </w:r>
          </w:p>
          <w:p w14:paraId="4ECCC499">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69A814">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预算编制</w:t>
            </w:r>
          </w:p>
          <w:p w14:paraId="2263DDA2">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科学性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C50D3">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项目预算编制是否经过科学论证、有明确标准，资金额度与年度目标是否相适应，用以反映和考核项目预算编制的科学性、合理性情况。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46668">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①预算编制是否经过科学论证；</w:t>
            </w:r>
            <w:r>
              <w:rPr>
                <w:rFonts w:hint="eastAsia"/>
                <w:color w:val="auto"/>
                <w:sz w:val="24"/>
                <w:highlight w:val="none"/>
              </w:rPr>
              <w:br w:type="textWrapping"/>
            </w:r>
            <w:r>
              <w:rPr>
                <w:rFonts w:hint="eastAsia"/>
                <w:color w:val="auto"/>
                <w:sz w:val="24"/>
                <w:highlight w:val="none"/>
              </w:rPr>
              <w:t>②预算内容与项目内容是否匹配；</w:t>
            </w:r>
            <w:r>
              <w:rPr>
                <w:rFonts w:hint="eastAsia"/>
                <w:color w:val="auto"/>
                <w:sz w:val="24"/>
                <w:highlight w:val="none"/>
              </w:rPr>
              <w:br w:type="textWrapping"/>
            </w:r>
            <w:r>
              <w:rPr>
                <w:rFonts w:hint="eastAsia"/>
                <w:color w:val="auto"/>
                <w:sz w:val="24"/>
                <w:highlight w:val="none"/>
              </w:rPr>
              <w:t>③预算额度测算依据是否充分，是否按照标准编制；</w:t>
            </w:r>
            <w:r>
              <w:rPr>
                <w:rFonts w:hint="eastAsia"/>
                <w:color w:val="auto"/>
                <w:sz w:val="24"/>
                <w:highlight w:val="none"/>
              </w:rPr>
              <w:br w:type="textWrapping"/>
            </w:r>
            <w:r>
              <w:rPr>
                <w:rFonts w:hint="eastAsia"/>
                <w:color w:val="auto"/>
                <w:sz w:val="24"/>
                <w:highlight w:val="none"/>
              </w:rPr>
              <w:t>④预算确定的项目投资额或资金量是否与工作任务相匹配。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360FF22D">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4602DBB5">
            <w:pPr>
              <w:pageBreakBefore w:val="0"/>
              <w:widowControl w:val="0"/>
              <w:kinsoku/>
              <w:wordWrap/>
              <w:overflowPunct/>
              <w:topLinePunct w:val="0"/>
              <w:autoSpaceDE/>
              <w:bidi w:val="0"/>
              <w:spacing w:line="560" w:lineRule="exact"/>
              <w:rPr>
                <w:color w:val="auto"/>
                <w:sz w:val="24"/>
                <w:highlight w:val="none"/>
              </w:rPr>
            </w:pPr>
          </w:p>
        </w:tc>
      </w:tr>
      <w:tr w14:paraId="427138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0C0F7F10">
            <w:pPr>
              <w:pageBreakBefore w:val="0"/>
              <w:widowControl w:val="0"/>
              <w:kinsoku/>
              <w:wordWrap/>
              <w:overflowPunct/>
              <w:topLinePunct w:val="0"/>
              <w:autoSpaceDE/>
              <w:bidi w:val="0"/>
              <w:spacing w:line="560" w:lineRule="exact"/>
              <w:rPr>
                <w:color w:val="auto"/>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14A319CE">
            <w:pPr>
              <w:pageBreakBefore w:val="0"/>
              <w:widowControl w:val="0"/>
              <w:kinsoku/>
              <w:wordWrap/>
              <w:overflowPunct/>
              <w:topLinePunct w:val="0"/>
              <w:autoSpaceDE/>
              <w:bidi w:val="0"/>
              <w:spacing w:line="560" w:lineRule="exact"/>
              <w:rPr>
                <w:color w:val="auto"/>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09D089">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资金分配</w:t>
            </w:r>
          </w:p>
          <w:p w14:paraId="016797A6">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B294AF">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项目预算资金分配是否有测算依据，与补助单位或地方实际是否相适应，用以反映和考核项目预算资金分配的科学性、合理性情况。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A144F7">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①预算资金分配依据是否充分；</w:t>
            </w:r>
            <w:r>
              <w:rPr>
                <w:rFonts w:hint="eastAsia"/>
                <w:color w:val="auto"/>
                <w:sz w:val="24"/>
                <w:highlight w:val="none"/>
              </w:rPr>
              <w:br w:type="textWrapping"/>
            </w:r>
            <w:r>
              <w:rPr>
                <w:rFonts w:hint="eastAsia"/>
                <w:color w:val="auto"/>
                <w:sz w:val="24"/>
                <w:highlight w:val="none"/>
              </w:rPr>
              <w:t>②资金分配额度是否合理，与项目单位或地方实际是否相适应。</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05B85EE7">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6215B72C">
            <w:pPr>
              <w:pageBreakBefore w:val="0"/>
              <w:widowControl w:val="0"/>
              <w:kinsoku/>
              <w:wordWrap/>
              <w:overflowPunct/>
              <w:topLinePunct w:val="0"/>
              <w:autoSpaceDE/>
              <w:bidi w:val="0"/>
              <w:spacing w:line="560" w:lineRule="exact"/>
              <w:rPr>
                <w:color w:val="auto"/>
                <w:sz w:val="24"/>
                <w:highlight w:val="none"/>
              </w:rPr>
            </w:pPr>
          </w:p>
        </w:tc>
      </w:tr>
      <w:tr w14:paraId="50C277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FFC5F2">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过程</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17F32D">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93B4D1">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资金到位率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B89B64">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实际到位资金与预算资金的比率，用以反映和考核资金落实情况对项目实施的总体保障程度。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7ED10">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资金到位率=（实际到位资金/预算资金）×100%。</w:t>
            </w:r>
          </w:p>
          <w:p w14:paraId="14C64434">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实际到位资金：一定时期（本年度或项目期）内落实到具体项目的资金。</w:t>
            </w:r>
          </w:p>
          <w:p w14:paraId="33586D9B">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预算资金：一定时期（本年度或项目期）内预算安排到具体项目的资金。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67733444">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6695946A">
            <w:pPr>
              <w:pageBreakBefore w:val="0"/>
              <w:widowControl w:val="0"/>
              <w:kinsoku/>
              <w:wordWrap/>
              <w:overflowPunct/>
              <w:topLinePunct w:val="0"/>
              <w:autoSpaceDE/>
              <w:bidi w:val="0"/>
              <w:spacing w:line="560" w:lineRule="exact"/>
              <w:rPr>
                <w:color w:val="auto"/>
                <w:sz w:val="24"/>
                <w:highlight w:val="none"/>
              </w:rPr>
            </w:pPr>
          </w:p>
        </w:tc>
      </w:tr>
      <w:tr w14:paraId="0F9B25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7E67B065">
            <w:pPr>
              <w:pageBreakBefore w:val="0"/>
              <w:widowControl w:val="0"/>
              <w:kinsoku/>
              <w:wordWrap/>
              <w:overflowPunct/>
              <w:topLinePunct w:val="0"/>
              <w:autoSpaceDE/>
              <w:bidi w:val="0"/>
              <w:spacing w:line="560" w:lineRule="exact"/>
              <w:rPr>
                <w:color w:val="auto"/>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4BBAEE6D">
            <w:pPr>
              <w:pageBreakBefore w:val="0"/>
              <w:widowControl w:val="0"/>
              <w:kinsoku/>
              <w:wordWrap/>
              <w:overflowPunct/>
              <w:topLinePunct w:val="0"/>
              <w:autoSpaceDE/>
              <w:bidi w:val="0"/>
              <w:spacing w:line="560" w:lineRule="exact"/>
              <w:rPr>
                <w:color w:val="auto"/>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8BFD28">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预算执行率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1F36EE">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项目预算资金是否按照计划执行，用以反映或考核项目预算执行情况。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AA62A5">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预算执行率=（实际支出资金/实际到位资金）×100%。</w:t>
            </w:r>
            <w:r>
              <w:rPr>
                <w:rFonts w:hint="eastAsia"/>
                <w:color w:val="auto"/>
                <w:sz w:val="24"/>
                <w:highlight w:val="none"/>
              </w:rPr>
              <w:br w:type="textWrapping"/>
            </w:r>
            <w:r>
              <w:rPr>
                <w:rFonts w:hint="eastAsia"/>
                <w:color w:val="auto"/>
                <w:sz w:val="24"/>
                <w:highlight w:val="none"/>
              </w:rPr>
              <w:t>实际支出资金：一定时期（本年度或项目期）内项目实际拨付的资金。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298EFF31">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54E3D923">
            <w:pPr>
              <w:pageBreakBefore w:val="0"/>
              <w:widowControl w:val="0"/>
              <w:kinsoku/>
              <w:wordWrap/>
              <w:overflowPunct/>
              <w:topLinePunct w:val="0"/>
              <w:autoSpaceDE/>
              <w:bidi w:val="0"/>
              <w:spacing w:line="560" w:lineRule="exact"/>
              <w:rPr>
                <w:color w:val="auto"/>
                <w:sz w:val="24"/>
                <w:highlight w:val="none"/>
              </w:rPr>
            </w:pPr>
          </w:p>
        </w:tc>
      </w:tr>
      <w:tr w14:paraId="75D77D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33F3770">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　</w:t>
            </w:r>
          </w:p>
          <w:p w14:paraId="5502827A">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过程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C9FE07">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7AD29D">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资金使用</w:t>
            </w:r>
          </w:p>
          <w:p w14:paraId="798EDD59">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合规性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453751">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项目资金使用是否符合相关的财务管理制度规定，用以反映和考核项目资金的规范运行情况。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AA87F0">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①是否符合国家财经法规和财务管理制度以及有关专项资金管理办法的规定；</w:t>
            </w:r>
            <w:r>
              <w:rPr>
                <w:rFonts w:hint="eastAsia"/>
                <w:color w:val="auto"/>
                <w:sz w:val="24"/>
                <w:highlight w:val="none"/>
              </w:rPr>
              <w:br w:type="textWrapping"/>
            </w:r>
            <w:r>
              <w:rPr>
                <w:rFonts w:hint="eastAsia"/>
                <w:color w:val="auto"/>
                <w:sz w:val="24"/>
                <w:highlight w:val="none"/>
              </w:rPr>
              <w:t>②资金的拨付是否有完整的审批程序和手续；</w:t>
            </w:r>
            <w:r>
              <w:rPr>
                <w:rFonts w:hint="eastAsia"/>
                <w:color w:val="auto"/>
                <w:sz w:val="24"/>
                <w:highlight w:val="none"/>
              </w:rPr>
              <w:br w:type="textWrapping"/>
            </w:r>
            <w:r>
              <w:rPr>
                <w:rFonts w:hint="eastAsia"/>
                <w:color w:val="auto"/>
                <w:sz w:val="24"/>
                <w:highlight w:val="none"/>
              </w:rPr>
              <w:t>③是否符合项目预算批复或合同规定的用途；</w:t>
            </w:r>
            <w:r>
              <w:rPr>
                <w:rFonts w:hint="eastAsia"/>
                <w:color w:val="auto"/>
                <w:sz w:val="24"/>
                <w:highlight w:val="none"/>
              </w:rPr>
              <w:br w:type="textWrapping"/>
            </w:r>
            <w:r>
              <w:rPr>
                <w:rFonts w:hint="eastAsia"/>
                <w:color w:val="auto"/>
                <w:sz w:val="24"/>
                <w:highlight w:val="none"/>
              </w:rPr>
              <w:t>④是否存在截留、挤占、挪用、虚列支出等情况。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76578875">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21DE02A7">
            <w:pPr>
              <w:pageBreakBefore w:val="0"/>
              <w:widowControl w:val="0"/>
              <w:kinsoku/>
              <w:wordWrap/>
              <w:overflowPunct/>
              <w:topLinePunct w:val="0"/>
              <w:autoSpaceDE/>
              <w:bidi w:val="0"/>
              <w:spacing w:line="560" w:lineRule="exact"/>
              <w:rPr>
                <w:color w:val="auto"/>
                <w:sz w:val="24"/>
                <w:highlight w:val="none"/>
              </w:rPr>
            </w:pPr>
          </w:p>
        </w:tc>
      </w:tr>
      <w:tr w14:paraId="12775F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133AB4E0">
            <w:pPr>
              <w:pageBreakBefore w:val="0"/>
              <w:widowControl w:val="0"/>
              <w:kinsoku/>
              <w:wordWrap/>
              <w:overflowPunct/>
              <w:topLinePunct w:val="0"/>
              <w:autoSpaceDE/>
              <w:bidi w:val="0"/>
              <w:spacing w:line="560" w:lineRule="exact"/>
              <w:rPr>
                <w:color w:val="auto"/>
                <w:sz w:val="24"/>
                <w:highlight w:val="none"/>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18F6FB">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组织实施</w:t>
            </w:r>
          </w:p>
          <w:p w14:paraId="0B413D87">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8A529C">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管理制度</w:t>
            </w:r>
          </w:p>
          <w:p w14:paraId="7A6D3131">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健全性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3C4E1A">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项目实施单位的财务和业务管理制度是否健全，用以反映和考核财务和业务管理制度对项目顺利实施的保障情况。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28BC01">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①是否已制定或具有相应的财务和业务管理制度；</w:t>
            </w:r>
            <w:r>
              <w:rPr>
                <w:rFonts w:hint="eastAsia"/>
                <w:color w:val="auto"/>
                <w:sz w:val="24"/>
                <w:highlight w:val="none"/>
              </w:rPr>
              <w:br w:type="textWrapping"/>
            </w:r>
            <w:r>
              <w:rPr>
                <w:rFonts w:hint="eastAsia"/>
                <w:color w:val="auto"/>
                <w:sz w:val="24"/>
                <w:highlight w:val="none"/>
              </w:rPr>
              <w:t>②财务和业务管理制度是否合法、合规、完整。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46DEDE56">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18F71E4C">
            <w:pPr>
              <w:pageBreakBefore w:val="0"/>
              <w:widowControl w:val="0"/>
              <w:kinsoku/>
              <w:wordWrap/>
              <w:overflowPunct/>
              <w:topLinePunct w:val="0"/>
              <w:autoSpaceDE/>
              <w:bidi w:val="0"/>
              <w:spacing w:line="560" w:lineRule="exact"/>
              <w:rPr>
                <w:color w:val="auto"/>
                <w:sz w:val="24"/>
                <w:highlight w:val="none"/>
              </w:rPr>
            </w:pPr>
          </w:p>
        </w:tc>
      </w:tr>
      <w:tr w14:paraId="30315E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57845542">
            <w:pPr>
              <w:pageBreakBefore w:val="0"/>
              <w:widowControl w:val="0"/>
              <w:kinsoku/>
              <w:wordWrap/>
              <w:overflowPunct/>
              <w:topLinePunct w:val="0"/>
              <w:autoSpaceDE/>
              <w:bidi w:val="0"/>
              <w:spacing w:line="560" w:lineRule="exact"/>
              <w:rPr>
                <w:color w:val="auto"/>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3CDAA7C2">
            <w:pPr>
              <w:pageBreakBefore w:val="0"/>
              <w:widowControl w:val="0"/>
              <w:kinsoku/>
              <w:wordWrap/>
              <w:overflowPunct/>
              <w:topLinePunct w:val="0"/>
              <w:autoSpaceDE/>
              <w:bidi w:val="0"/>
              <w:spacing w:line="560" w:lineRule="exact"/>
              <w:rPr>
                <w:color w:val="auto"/>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CD5062">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制度执行</w:t>
            </w:r>
          </w:p>
          <w:p w14:paraId="4EA05A67">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有效性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6B470C">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项目实施是否符合相关管理规定，用以反映和考核相关管理制度的有效执行情况。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8F6DC9">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①是否遵守相关法律法规和相关管理规定；</w:t>
            </w:r>
            <w:r>
              <w:rPr>
                <w:rFonts w:hint="eastAsia"/>
                <w:color w:val="auto"/>
                <w:sz w:val="24"/>
                <w:highlight w:val="none"/>
              </w:rPr>
              <w:br w:type="textWrapping"/>
            </w:r>
            <w:r>
              <w:rPr>
                <w:rFonts w:hint="eastAsia"/>
                <w:color w:val="auto"/>
                <w:sz w:val="24"/>
                <w:highlight w:val="none"/>
              </w:rPr>
              <w:t>②项目调整及支出调整手续是否完备；</w:t>
            </w:r>
            <w:r>
              <w:rPr>
                <w:rFonts w:hint="eastAsia"/>
                <w:color w:val="auto"/>
                <w:sz w:val="24"/>
                <w:highlight w:val="none"/>
              </w:rPr>
              <w:br w:type="textWrapping"/>
            </w:r>
            <w:r>
              <w:rPr>
                <w:rFonts w:hint="eastAsia"/>
                <w:color w:val="auto"/>
                <w:sz w:val="24"/>
                <w:highlight w:val="none"/>
              </w:rPr>
              <w:t>③项目合同书、验收报告、技术鉴定等资料是否齐全并及时归档；</w:t>
            </w:r>
            <w:r>
              <w:rPr>
                <w:rFonts w:hint="eastAsia"/>
                <w:color w:val="auto"/>
                <w:sz w:val="24"/>
                <w:highlight w:val="none"/>
              </w:rPr>
              <w:br w:type="textWrapping"/>
            </w:r>
            <w:r>
              <w:rPr>
                <w:rFonts w:hint="eastAsia"/>
                <w:color w:val="auto"/>
                <w:sz w:val="24"/>
                <w:highlight w:val="none"/>
              </w:rPr>
              <w:t>④项目实施的人员条件、场地设备、信息支撑等是否落实到位。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7BF01798">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07951433">
            <w:pPr>
              <w:pageBreakBefore w:val="0"/>
              <w:widowControl w:val="0"/>
              <w:kinsoku/>
              <w:wordWrap/>
              <w:overflowPunct/>
              <w:topLinePunct w:val="0"/>
              <w:autoSpaceDE/>
              <w:bidi w:val="0"/>
              <w:spacing w:line="560" w:lineRule="exact"/>
              <w:rPr>
                <w:color w:val="auto"/>
                <w:sz w:val="24"/>
                <w:highlight w:val="none"/>
              </w:rPr>
            </w:pPr>
          </w:p>
        </w:tc>
      </w:tr>
      <w:tr w14:paraId="7C364A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43A4C3">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8B7F45">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产出数量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6FEBDB">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实际完成率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E15B6C">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项目实施的实际产出数与计划产出数的比率，用以反映和考核项目产出数量目标的实现程度。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744AE0">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实际完成率=（实际产出数/计划产出数）×100%。</w:t>
            </w:r>
            <w:r>
              <w:rPr>
                <w:rFonts w:hint="eastAsia"/>
                <w:color w:val="auto"/>
                <w:sz w:val="24"/>
                <w:highlight w:val="none"/>
              </w:rPr>
              <w:br w:type="textWrapping"/>
            </w:r>
            <w:r>
              <w:rPr>
                <w:rFonts w:hint="eastAsia"/>
                <w:color w:val="auto"/>
                <w:sz w:val="24"/>
                <w:highlight w:val="none"/>
              </w:rPr>
              <w:t>实际产出数：一定时期（本年度或项目期）内项目实际产出的产品或提供的服务数量。</w:t>
            </w:r>
            <w:r>
              <w:rPr>
                <w:rFonts w:hint="eastAsia"/>
                <w:color w:val="auto"/>
                <w:sz w:val="24"/>
                <w:highlight w:val="none"/>
              </w:rPr>
              <w:br w:type="textWrapping"/>
            </w:r>
            <w:r>
              <w:rPr>
                <w:rFonts w:hint="eastAsia"/>
                <w:color w:val="auto"/>
                <w:sz w:val="24"/>
                <w:highlight w:val="none"/>
              </w:rPr>
              <w:t>计划产出数：项目绩效目标确定的在一定时期（本年度或项目期）内计划产出的产品或提供的服务数量。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72D95FF3">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3E4800CF">
            <w:pPr>
              <w:pageBreakBefore w:val="0"/>
              <w:widowControl w:val="0"/>
              <w:kinsoku/>
              <w:wordWrap/>
              <w:overflowPunct/>
              <w:topLinePunct w:val="0"/>
              <w:autoSpaceDE/>
              <w:bidi w:val="0"/>
              <w:spacing w:line="560" w:lineRule="exact"/>
              <w:rPr>
                <w:color w:val="auto"/>
                <w:sz w:val="24"/>
                <w:highlight w:val="none"/>
              </w:rPr>
            </w:pPr>
          </w:p>
        </w:tc>
      </w:tr>
      <w:tr w14:paraId="0E8BC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6BC4E7">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FE1A45">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产出质量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D5015">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质量达标率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D323B">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项目完成的质量达标产出数与实际产出数的比率，用以反映和考核项目产出质量目标的实现程度。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CCB4BC">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质量达标率=（质量达标产出数/实际产出数）×100%。</w:t>
            </w:r>
          </w:p>
          <w:p w14:paraId="601AC89B">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2DB28BF7">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09DBB856">
            <w:pPr>
              <w:pageBreakBefore w:val="0"/>
              <w:widowControl w:val="0"/>
              <w:kinsoku/>
              <w:wordWrap/>
              <w:overflowPunct/>
              <w:topLinePunct w:val="0"/>
              <w:autoSpaceDE/>
              <w:bidi w:val="0"/>
              <w:spacing w:line="560" w:lineRule="exact"/>
              <w:rPr>
                <w:color w:val="auto"/>
                <w:sz w:val="24"/>
                <w:highlight w:val="none"/>
              </w:rPr>
            </w:pPr>
          </w:p>
        </w:tc>
      </w:tr>
      <w:tr w14:paraId="0442FD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7715F93F">
            <w:pPr>
              <w:pageBreakBefore w:val="0"/>
              <w:widowControl w:val="0"/>
              <w:kinsoku/>
              <w:wordWrap/>
              <w:overflowPunct/>
              <w:topLinePunct w:val="0"/>
              <w:autoSpaceDE/>
              <w:bidi w:val="0"/>
              <w:spacing w:line="560" w:lineRule="exact"/>
              <w:rPr>
                <w:color w:val="auto"/>
                <w:sz w:val="24"/>
                <w:highlight w:val="none"/>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8DD184">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产出时效</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7B865A">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完成及时性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96FA0E">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项目实际完成时间与计划完成时间的比较，用以反映和考核项目产出时效目标的实现程度。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83F2AF">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实际完成时间：项目实施单位完成该项目实际所耗用的时间。</w:t>
            </w:r>
            <w:r>
              <w:rPr>
                <w:rFonts w:hint="eastAsia"/>
                <w:color w:val="auto"/>
                <w:sz w:val="24"/>
                <w:highlight w:val="none"/>
              </w:rPr>
              <w:br w:type="textWrapping"/>
            </w:r>
            <w:r>
              <w:rPr>
                <w:rFonts w:hint="eastAsia"/>
                <w:color w:val="auto"/>
                <w:sz w:val="24"/>
                <w:highlight w:val="none"/>
              </w:rPr>
              <w:t>计划完成时间：按照项目实施计划或相关规定完成该项目所需的时间。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2CD5D3EE">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6E308BF7">
            <w:pPr>
              <w:pageBreakBefore w:val="0"/>
              <w:widowControl w:val="0"/>
              <w:kinsoku/>
              <w:wordWrap/>
              <w:overflowPunct/>
              <w:topLinePunct w:val="0"/>
              <w:autoSpaceDE/>
              <w:bidi w:val="0"/>
              <w:spacing w:line="560" w:lineRule="exact"/>
              <w:rPr>
                <w:color w:val="auto"/>
                <w:sz w:val="24"/>
                <w:highlight w:val="none"/>
              </w:rPr>
            </w:pPr>
          </w:p>
        </w:tc>
      </w:tr>
      <w:tr w14:paraId="211134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36C670BE">
            <w:pPr>
              <w:pageBreakBefore w:val="0"/>
              <w:widowControl w:val="0"/>
              <w:kinsoku/>
              <w:wordWrap/>
              <w:overflowPunct/>
              <w:topLinePunct w:val="0"/>
              <w:autoSpaceDE/>
              <w:bidi w:val="0"/>
              <w:spacing w:line="560" w:lineRule="exact"/>
              <w:rPr>
                <w:color w:val="auto"/>
                <w:sz w:val="24"/>
                <w:highlight w:val="none"/>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EEA6C0">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产出成本</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742FAD">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成本节约率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3A5BA3">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完成项目计划工作目标的实际节约成本与计划成本的比率，用以反映和考核项目的成本节约程度。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8D371E">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br w:type="textWrapping"/>
            </w:r>
            <w:r>
              <w:rPr>
                <w:rFonts w:hint="eastAsia"/>
                <w:color w:val="auto"/>
                <w:sz w:val="24"/>
                <w:highlight w:val="none"/>
              </w:rPr>
              <w:t>成本节约率=[（计划成本-实际成本）/计划成本]×100%。</w:t>
            </w:r>
            <w:r>
              <w:rPr>
                <w:rFonts w:hint="eastAsia"/>
                <w:color w:val="auto"/>
                <w:sz w:val="24"/>
                <w:highlight w:val="none"/>
              </w:rPr>
              <w:br w:type="textWrapping"/>
            </w:r>
            <w:r>
              <w:rPr>
                <w:rFonts w:hint="eastAsia"/>
                <w:color w:val="auto"/>
                <w:sz w:val="24"/>
                <w:highlight w:val="none"/>
              </w:rPr>
              <w:t>实际成本：项目实施单位如期、保质、保量完成既定工作目标实际所耗费的支出。</w:t>
            </w:r>
            <w:r>
              <w:rPr>
                <w:rFonts w:hint="eastAsia"/>
                <w:color w:val="auto"/>
                <w:sz w:val="24"/>
                <w:highlight w:val="none"/>
              </w:rPr>
              <w:br w:type="textWrapping"/>
            </w:r>
            <w:r>
              <w:rPr>
                <w:rFonts w:hint="eastAsia"/>
                <w:color w:val="auto"/>
                <w:sz w:val="24"/>
                <w:highlight w:val="none"/>
              </w:rPr>
              <w:t>计划成本：项目实施单位为完成工作目标计划安排的支出，一般以项目预算为参考。</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667E822B">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2CB72DE4">
            <w:pPr>
              <w:pageBreakBefore w:val="0"/>
              <w:widowControl w:val="0"/>
              <w:kinsoku/>
              <w:wordWrap/>
              <w:overflowPunct/>
              <w:topLinePunct w:val="0"/>
              <w:autoSpaceDE/>
              <w:bidi w:val="0"/>
              <w:spacing w:line="560" w:lineRule="exact"/>
              <w:rPr>
                <w:color w:val="auto"/>
                <w:sz w:val="24"/>
                <w:highlight w:val="none"/>
              </w:rPr>
            </w:pPr>
          </w:p>
        </w:tc>
      </w:tr>
      <w:tr w14:paraId="63E748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48E99A">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效益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4B2F623">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项目效益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38CAD1">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实施效益</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B5D827">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项目实施所产生的效益。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772004">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项目实施所产生的社会效益、经济效益、生态效益、可持续影响等。可根据项目实际情况有选择地设置和细化。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328C9550">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179064AD">
            <w:pPr>
              <w:pageBreakBefore w:val="0"/>
              <w:widowControl w:val="0"/>
              <w:kinsoku/>
              <w:wordWrap/>
              <w:overflowPunct/>
              <w:topLinePunct w:val="0"/>
              <w:autoSpaceDE/>
              <w:bidi w:val="0"/>
              <w:spacing w:line="560" w:lineRule="exact"/>
              <w:rPr>
                <w:color w:val="auto"/>
                <w:sz w:val="24"/>
                <w:highlight w:val="none"/>
              </w:rPr>
            </w:pPr>
          </w:p>
        </w:tc>
      </w:tr>
      <w:tr w14:paraId="4124F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59227E20">
            <w:pPr>
              <w:pageBreakBefore w:val="0"/>
              <w:widowControl w:val="0"/>
              <w:kinsoku/>
              <w:wordWrap/>
              <w:overflowPunct/>
              <w:topLinePunct w:val="0"/>
              <w:autoSpaceDE/>
              <w:bidi w:val="0"/>
              <w:spacing w:line="560" w:lineRule="exact"/>
              <w:rPr>
                <w:color w:val="auto"/>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7175079D">
            <w:pPr>
              <w:pageBreakBefore w:val="0"/>
              <w:widowControl w:val="0"/>
              <w:kinsoku/>
              <w:wordWrap/>
              <w:overflowPunct/>
              <w:topLinePunct w:val="0"/>
              <w:autoSpaceDE/>
              <w:bidi w:val="0"/>
              <w:spacing w:line="560" w:lineRule="exact"/>
              <w:rPr>
                <w:color w:val="auto"/>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9FBAAD">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满意度</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27A6B6">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社会公众或服务对象对项目实施效果的满意程度。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D5E8CA">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社会公众或服务对象是指因该项目实施而受到影响的部门（单位）、群体或个人。一般采取社会调查的方式。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208918FC">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2144FC97">
            <w:pPr>
              <w:pageBreakBefore w:val="0"/>
              <w:widowControl w:val="0"/>
              <w:kinsoku/>
              <w:wordWrap/>
              <w:overflowPunct/>
              <w:topLinePunct w:val="0"/>
              <w:autoSpaceDE/>
              <w:bidi w:val="0"/>
              <w:spacing w:line="560" w:lineRule="exact"/>
              <w:rPr>
                <w:color w:val="auto"/>
                <w:sz w:val="24"/>
                <w:highlight w:val="none"/>
              </w:rPr>
            </w:pPr>
          </w:p>
        </w:tc>
      </w:tr>
    </w:tbl>
    <w:p w14:paraId="79FCA100">
      <w:pPr>
        <w:pageBreakBefore w:val="0"/>
        <w:widowControl w:val="0"/>
        <w:kinsoku/>
        <w:wordWrap/>
        <w:overflowPunct/>
        <w:topLinePunct w:val="0"/>
        <w:autoSpaceDE/>
        <w:bidi w:val="0"/>
        <w:spacing w:line="560" w:lineRule="exact"/>
        <w:rPr>
          <w:color w:val="auto"/>
          <w:highlight w:val="none"/>
        </w:rPr>
      </w:pPr>
    </w:p>
    <w:p w14:paraId="35EF9F1C">
      <w:pPr>
        <w:pageBreakBefore w:val="0"/>
        <w:widowControl w:val="0"/>
        <w:kinsoku/>
        <w:wordWrap/>
        <w:overflowPunct/>
        <w:topLinePunct w:val="0"/>
        <w:autoSpaceDE/>
        <w:bidi w:val="0"/>
        <w:spacing w:line="560" w:lineRule="exact"/>
        <w:rPr>
          <w:color w:val="auto"/>
          <w:highlight w:val="none"/>
        </w:rPr>
      </w:pPr>
    </w:p>
    <w:p w14:paraId="396E45D3">
      <w:pPr>
        <w:pageBreakBefore w:val="0"/>
        <w:widowControl w:val="0"/>
        <w:kinsoku/>
        <w:wordWrap/>
        <w:overflowPunct/>
        <w:topLinePunct w:val="0"/>
        <w:autoSpaceDE/>
        <w:bidi w:val="0"/>
        <w:spacing w:line="560" w:lineRule="exact"/>
        <w:rPr>
          <w:color w:val="auto"/>
          <w:highlight w:val="none"/>
        </w:rPr>
      </w:pPr>
    </w:p>
    <w:tbl>
      <w:tblPr>
        <w:tblStyle w:val="9"/>
        <w:tblW w:w="10820" w:type="dxa"/>
        <w:jc w:val="center"/>
        <w:tblLayout w:type="fixed"/>
        <w:tblCellMar>
          <w:top w:w="0" w:type="dxa"/>
          <w:left w:w="0" w:type="dxa"/>
          <w:bottom w:w="0" w:type="dxa"/>
          <w:right w:w="0" w:type="dxa"/>
        </w:tblCellMar>
      </w:tblPr>
      <w:tblGrid>
        <w:gridCol w:w="1180"/>
        <w:gridCol w:w="2100"/>
        <w:gridCol w:w="2140"/>
        <w:gridCol w:w="2160"/>
        <w:gridCol w:w="1620"/>
        <w:gridCol w:w="1620"/>
      </w:tblGrid>
      <w:tr w14:paraId="039FC35F">
        <w:tblPrEx>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4C25FC18">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指标</w:t>
            </w:r>
          </w:p>
        </w:tc>
        <w:tc>
          <w:tcPr>
            <w:tcW w:w="2100" w:type="dxa"/>
            <w:tcBorders>
              <w:top w:val="single" w:color="auto" w:sz="4" w:space="0"/>
              <w:left w:val="single" w:color="auto" w:sz="4" w:space="0"/>
              <w:bottom w:val="single" w:color="auto" w:sz="4" w:space="0"/>
              <w:right w:val="single" w:color="auto" w:sz="4" w:space="0"/>
            </w:tcBorders>
            <w:vAlign w:val="bottom"/>
          </w:tcPr>
          <w:p w14:paraId="7B750A6A">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14:paraId="7C879D15">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项目管理</w:t>
            </w:r>
          </w:p>
        </w:tc>
        <w:tc>
          <w:tcPr>
            <w:tcW w:w="2160" w:type="dxa"/>
            <w:tcBorders>
              <w:top w:val="single" w:color="auto" w:sz="4" w:space="0"/>
              <w:left w:val="single" w:color="auto" w:sz="4" w:space="0"/>
              <w:bottom w:val="single" w:color="auto" w:sz="4" w:space="0"/>
              <w:right w:val="single" w:color="auto" w:sz="4" w:space="0"/>
            </w:tcBorders>
            <w:vAlign w:val="bottom"/>
          </w:tcPr>
          <w:p w14:paraId="4088AAAD">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项目产出</w:t>
            </w:r>
          </w:p>
        </w:tc>
        <w:tc>
          <w:tcPr>
            <w:tcW w:w="1620" w:type="dxa"/>
            <w:tcBorders>
              <w:top w:val="single" w:color="auto" w:sz="4" w:space="0"/>
              <w:left w:val="single" w:color="auto" w:sz="4" w:space="0"/>
              <w:bottom w:val="single" w:color="auto" w:sz="4" w:space="0"/>
              <w:right w:val="single" w:color="auto" w:sz="4" w:space="0"/>
            </w:tcBorders>
          </w:tcPr>
          <w:p w14:paraId="6970AF44">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14:paraId="097E13D7">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合计分值</w:t>
            </w:r>
          </w:p>
        </w:tc>
      </w:tr>
      <w:tr w14:paraId="6F617A55">
        <w:tblPrEx>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1B27FD0D">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权重</w:t>
            </w:r>
          </w:p>
        </w:tc>
        <w:tc>
          <w:tcPr>
            <w:tcW w:w="2100" w:type="dxa"/>
            <w:tcBorders>
              <w:top w:val="single" w:color="auto" w:sz="4" w:space="0"/>
              <w:left w:val="single" w:color="auto" w:sz="4" w:space="0"/>
              <w:bottom w:val="single" w:color="auto" w:sz="4" w:space="0"/>
              <w:right w:val="single" w:color="auto" w:sz="4" w:space="0"/>
            </w:tcBorders>
            <w:vAlign w:val="bottom"/>
          </w:tcPr>
          <w:p w14:paraId="2FB85D3E">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r>
              <w:rPr>
                <w:rFonts w:ascii="仿宋_GB2312" w:hAnsi="黑体"/>
                <w:color w:val="auto"/>
                <w:sz w:val="24"/>
                <w:highlight w:val="none"/>
              </w:rPr>
              <w:t>15</w:t>
            </w:r>
          </w:p>
        </w:tc>
        <w:tc>
          <w:tcPr>
            <w:tcW w:w="2140" w:type="dxa"/>
            <w:tcBorders>
              <w:top w:val="single" w:color="auto" w:sz="4" w:space="0"/>
              <w:left w:val="single" w:color="auto" w:sz="4" w:space="0"/>
              <w:bottom w:val="single" w:color="auto" w:sz="4" w:space="0"/>
              <w:right w:val="single" w:color="auto" w:sz="4" w:space="0"/>
            </w:tcBorders>
            <w:vAlign w:val="bottom"/>
          </w:tcPr>
          <w:p w14:paraId="10D264CB">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r>
              <w:rPr>
                <w:rFonts w:ascii="仿宋_GB2312" w:hAnsi="黑体"/>
                <w:color w:val="auto"/>
                <w:sz w:val="24"/>
                <w:highlight w:val="none"/>
              </w:rPr>
              <w:t>15</w:t>
            </w:r>
          </w:p>
        </w:tc>
        <w:tc>
          <w:tcPr>
            <w:tcW w:w="2160" w:type="dxa"/>
            <w:tcBorders>
              <w:top w:val="single" w:color="auto" w:sz="4" w:space="0"/>
              <w:left w:val="single" w:color="auto" w:sz="4" w:space="0"/>
              <w:bottom w:val="single" w:color="auto" w:sz="4" w:space="0"/>
              <w:right w:val="single" w:color="auto" w:sz="4" w:space="0"/>
            </w:tcBorders>
            <w:vAlign w:val="bottom"/>
          </w:tcPr>
          <w:p w14:paraId="39B22A5F">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r>
              <w:rPr>
                <w:rFonts w:ascii="仿宋_GB2312" w:hAnsi="黑体"/>
                <w:color w:val="auto"/>
                <w:sz w:val="24"/>
                <w:highlight w:val="none"/>
              </w:rPr>
              <w:t>50</w:t>
            </w:r>
          </w:p>
        </w:tc>
        <w:tc>
          <w:tcPr>
            <w:tcW w:w="1620" w:type="dxa"/>
            <w:tcBorders>
              <w:top w:val="single" w:color="auto" w:sz="4" w:space="0"/>
              <w:left w:val="single" w:color="auto" w:sz="4" w:space="0"/>
              <w:bottom w:val="single" w:color="auto" w:sz="4" w:space="0"/>
              <w:right w:val="single" w:color="auto" w:sz="4" w:space="0"/>
            </w:tcBorders>
          </w:tcPr>
          <w:p w14:paraId="6BB4B545">
            <w:pPr>
              <w:pageBreakBefore w:val="0"/>
              <w:widowControl w:val="0"/>
              <w:kinsoku/>
              <w:wordWrap/>
              <w:overflowPunct/>
              <w:topLinePunct w:val="0"/>
              <w:autoSpaceDE/>
              <w:bidi w:val="0"/>
              <w:spacing w:line="560" w:lineRule="exact"/>
              <w:ind w:firstLine="480" w:firstLineChars="200"/>
              <w:rPr>
                <w:rFonts w:ascii="仿宋_GB2312" w:hAnsi="黑体"/>
                <w:color w:val="auto"/>
                <w:sz w:val="24"/>
                <w:highlight w:val="none"/>
              </w:rPr>
            </w:pPr>
            <w:r>
              <w:rPr>
                <w:rFonts w:ascii="仿宋_GB2312" w:hAnsi="黑体"/>
                <w:color w:val="auto"/>
                <w:sz w:val="24"/>
                <w:highlight w:val="none"/>
              </w:rPr>
              <w:t>20</w:t>
            </w:r>
          </w:p>
        </w:tc>
        <w:tc>
          <w:tcPr>
            <w:tcW w:w="1620" w:type="dxa"/>
            <w:tcBorders>
              <w:top w:val="single" w:color="auto" w:sz="4" w:space="0"/>
              <w:left w:val="single" w:color="auto" w:sz="4" w:space="0"/>
              <w:bottom w:val="single" w:color="auto" w:sz="4" w:space="0"/>
              <w:right w:val="single" w:color="auto" w:sz="4" w:space="0"/>
            </w:tcBorders>
            <w:vAlign w:val="bottom"/>
          </w:tcPr>
          <w:p w14:paraId="30DAB180">
            <w:pPr>
              <w:pageBreakBefore w:val="0"/>
              <w:widowControl w:val="0"/>
              <w:kinsoku/>
              <w:wordWrap/>
              <w:overflowPunct/>
              <w:topLinePunct w:val="0"/>
              <w:autoSpaceDE/>
              <w:bidi w:val="0"/>
              <w:spacing w:line="560" w:lineRule="exact"/>
              <w:ind w:firstLine="480" w:firstLineChars="200"/>
              <w:rPr>
                <w:rFonts w:ascii="仿宋_GB2312" w:hAnsi="黑体"/>
                <w:color w:val="auto"/>
                <w:sz w:val="24"/>
                <w:highlight w:val="none"/>
              </w:rPr>
            </w:pPr>
            <w:r>
              <w:rPr>
                <w:rFonts w:hint="eastAsia" w:ascii="仿宋_GB2312" w:hAnsi="黑体"/>
                <w:color w:val="auto"/>
                <w:sz w:val="24"/>
                <w:highlight w:val="none"/>
              </w:rPr>
              <w:t>100</w:t>
            </w:r>
          </w:p>
        </w:tc>
      </w:tr>
      <w:tr w14:paraId="5F547C74">
        <w:tblPrEx>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4DE71FDF">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分值</w:t>
            </w:r>
          </w:p>
        </w:tc>
        <w:tc>
          <w:tcPr>
            <w:tcW w:w="2100" w:type="dxa"/>
            <w:tcBorders>
              <w:top w:val="single" w:color="auto" w:sz="4" w:space="0"/>
              <w:left w:val="single" w:color="auto" w:sz="4" w:space="0"/>
              <w:bottom w:val="single" w:color="auto" w:sz="4" w:space="0"/>
              <w:right w:val="single" w:color="auto" w:sz="4" w:space="0"/>
            </w:tcBorders>
            <w:vAlign w:val="bottom"/>
          </w:tcPr>
          <w:p w14:paraId="66C1D789">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p>
        </w:tc>
        <w:tc>
          <w:tcPr>
            <w:tcW w:w="2140" w:type="dxa"/>
            <w:tcBorders>
              <w:top w:val="single" w:color="auto" w:sz="4" w:space="0"/>
              <w:left w:val="single" w:color="auto" w:sz="4" w:space="0"/>
              <w:bottom w:val="single" w:color="auto" w:sz="4" w:space="0"/>
              <w:right w:val="single" w:color="auto" w:sz="4" w:space="0"/>
            </w:tcBorders>
            <w:vAlign w:val="bottom"/>
          </w:tcPr>
          <w:p w14:paraId="1657D326">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p>
        </w:tc>
        <w:tc>
          <w:tcPr>
            <w:tcW w:w="2160" w:type="dxa"/>
            <w:tcBorders>
              <w:top w:val="single" w:color="auto" w:sz="4" w:space="0"/>
              <w:left w:val="single" w:color="auto" w:sz="4" w:space="0"/>
              <w:bottom w:val="single" w:color="auto" w:sz="4" w:space="0"/>
              <w:right w:val="single" w:color="auto" w:sz="4" w:space="0"/>
            </w:tcBorders>
            <w:vAlign w:val="bottom"/>
          </w:tcPr>
          <w:p w14:paraId="35D2D429">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1CE1C564">
            <w:pPr>
              <w:pageBreakBefore w:val="0"/>
              <w:widowControl w:val="0"/>
              <w:kinsoku/>
              <w:wordWrap/>
              <w:overflowPunct/>
              <w:topLinePunct w:val="0"/>
              <w:autoSpaceDE/>
              <w:bidi w:val="0"/>
              <w:spacing w:line="560" w:lineRule="exact"/>
              <w:ind w:firstLine="480" w:firstLineChars="200"/>
              <w:rPr>
                <w:rFonts w:ascii="仿宋_GB2312" w:hAnsi="黑体"/>
                <w:color w:val="auto"/>
                <w:sz w:val="24"/>
                <w:highlight w:val="none"/>
              </w:rPr>
            </w:pPr>
          </w:p>
        </w:tc>
        <w:tc>
          <w:tcPr>
            <w:tcW w:w="1620" w:type="dxa"/>
            <w:tcBorders>
              <w:top w:val="single" w:color="auto" w:sz="4" w:space="0"/>
              <w:left w:val="single" w:color="auto" w:sz="4" w:space="0"/>
              <w:bottom w:val="single" w:color="auto" w:sz="4" w:space="0"/>
              <w:right w:val="single" w:color="auto" w:sz="4" w:space="0"/>
            </w:tcBorders>
            <w:vAlign w:val="bottom"/>
          </w:tcPr>
          <w:p w14:paraId="454BD962">
            <w:pPr>
              <w:pageBreakBefore w:val="0"/>
              <w:widowControl w:val="0"/>
              <w:kinsoku/>
              <w:wordWrap/>
              <w:overflowPunct/>
              <w:topLinePunct w:val="0"/>
              <w:autoSpaceDE/>
              <w:bidi w:val="0"/>
              <w:spacing w:line="560" w:lineRule="exact"/>
              <w:ind w:firstLine="480" w:firstLineChars="200"/>
              <w:rPr>
                <w:rFonts w:ascii="仿宋_GB2312" w:hAnsi="黑体"/>
                <w:color w:val="auto"/>
                <w:sz w:val="24"/>
                <w:highlight w:val="none"/>
              </w:rPr>
            </w:pPr>
          </w:p>
        </w:tc>
      </w:tr>
    </w:tbl>
    <w:p w14:paraId="494B09F0">
      <w:pPr>
        <w:pageBreakBefore w:val="0"/>
        <w:widowControl w:val="0"/>
        <w:pBdr>
          <w:top w:val="none" w:color="000000" w:sz="0" w:space="3"/>
          <w:left w:val="none" w:color="000000" w:sz="0" w:space="0"/>
          <w:bottom w:val="none" w:color="000000" w:sz="0" w:space="26"/>
          <w:right w:val="none" w:color="000000" w:sz="0" w:space="1"/>
        </w:pBdr>
        <w:kinsoku/>
        <w:wordWrap/>
        <w:overflowPunct/>
        <w:topLinePunct w:val="0"/>
        <w:autoSpaceDE/>
        <w:autoSpaceDN w:val="0"/>
        <w:bidi w:val="0"/>
        <w:adjustRightInd w:val="0"/>
        <w:snapToGrid w:val="0"/>
        <w:spacing w:line="560" w:lineRule="exact"/>
        <w:jc w:val="left"/>
        <w:textAlignment w:val="top"/>
        <w:rPr>
          <w:rFonts w:ascii="仿宋_GB2312" w:hAnsi="黑体"/>
          <w:color w:val="auto"/>
          <w:highlight w:val="none"/>
        </w:rPr>
      </w:pPr>
    </w:p>
    <w:p w14:paraId="201864B5">
      <w:pPr>
        <w:pageBreakBefore w:val="0"/>
        <w:widowControl w:val="0"/>
        <w:pBdr>
          <w:top w:val="none" w:color="000000" w:sz="0" w:space="3"/>
          <w:left w:val="none" w:color="000000" w:sz="0" w:space="0"/>
          <w:bottom w:val="none" w:color="000000" w:sz="0" w:space="26"/>
          <w:right w:val="none" w:color="000000" w:sz="0" w:space="1"/>
        </w:pBdr>
        <w:kinsoku/>
        <w:wordWrap/>
        <w:overflowPunct/>
        <w:topLinePunct w:val="0"/>
        <w:autoSpaceDE/>
        <w:autoSpaceDN w:val="0"/>
        <w:bidi w:val="0"/>
        <w:adjustRightInd w:val="0"/>
        <w:snapToGrid w:val="0"/>
        <w:spacing w:line="560" w:lineRule="exact"/>
        <w:jc w:val="left"/>
        <w:textAlignment w:val="top"/>
        <w:rPr>
          <w:rFonts w:ascii="仿宋_GB2312" w:hAnsi="黑体"/>
          <w:color w:val="auto"/>
          <w:highlight w:val="none"/>
        </w:rPr>
      </w:pPr>
    </w:p>
    <w:sectPr>
      <w:footerReference r:id="rId3" w:type="default"/>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2656395"/>
      <w:docPartObj>
        <w:docPartGallery w:val="autotext"/>
      </w:docPartObj>
    </w:sdtPr>
    <w:sdtContent>
      <w:p w14:paraId="489A484A">
        <w:pPr>
          <w:pStyle w:val="5"/>
          <w:jc w:val="center"/>
        </w:pPr>
        <w:r>
          <w:fldChar w:fldCharType="begin"/>
        </w:r>
        <w:r>
          <w:instrText xml:space="preserve">PAGE   \* MERGEFORMAT</w:instrText>
        </w:r>
        <w:r>
          <w:fldChar w:fldCharType="separate"/>
        </w:r>
        <w:r>
          <w:rPr>
            <w:lang w:val="zh-CN"/>
          </w:rPr>
          <w:t>2</w:t>
        </w:r>
        <w:r>
          <w:fldChar w:fldCharType="end"/>
        </w:r>
      </w:p>
    </w:sdtContent>
  </w:sdt>
  <w:p w14:paraId="56FFF913">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F0726F"/>
    <w:multiLevelType w:val="singleLevel"/>
    <w:tmpl w:val="B6F0726F"/>
    <w:lvl w:ilvl="0" w:tentative="0">
      <w:start w:val="2"/>
      <w:numFmt w:val="chineseCounting"/>
      <w:suff w:val="nothing"/>
      <w:lvlText w:val="（%1）"/>
      <w:lvlJc w:val="left"/>
      <w:rPr>
        <w:rFonts w:hint="eastAsia"/>
      </w:rPr>
    </w:lvl>
  </w:abstractNum>
  <w:abstractNum w:abstractNumId="1">
    <w:nsid w:val="6D6D32BA"/>
    <w:multiLevelType w:val="multilevel"/>
    <w:tmpl w:val="6D6D32BA"/>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3D9"/>
    <w:rsid w:val="00014901"/>
    <w:rsid w:val="00015BBB"/>
    <w:rsid w:val="00017C51"/>
    <w:rsid w:val="00026062"/>
    <w:rsid w:val="00030AC1"/>
    <w:rsid w:val="0003176C"/>
    <w:rsid w:val="0004532C"/>
    <w:rsid w:val="0004680C"/>
    <w:rsid w:val="00060B7F"/>
    <w:rsid w:val="00063AE3"/>
    <w:rsid w:val="00076664"/>
    <w:rsid w:val="000824AD"/>
    <w:rsid w:val="000A266C"/>
    <w:rsid w:val="000A2A50"/>
    <w:rsid w:val="000A7E61"/>
    <w:rsid w:val="000E0D37"/>
    <w:rsid w:val="000F4281"/>
    <w:rsid w:val="00104909"/>
    <w:rsid w:val="00121D72"/>
    <w:rsid w:val="0012319B"/>
    <w:rsid w:val="00140653"/>
    <w:rsid w:val="00160A7D"/>
    <w:rsid w:val="001B1481"/>
    <w:rsid w:val="001B2AA0"/>
    <w:rsid w:val="001B3885"/>
    <w:rsid w:val="001B6DC8"/>
    <w:rsid w:val="001D642D"/>
    <w:rsid w:val="001F4D0F"/>
    <w:rsid w:val="002008D5"/>
    <w:rsid w:val="00252467"/>
    <w:rsid w:val="00255BDA"/>
    <w:rsid w:val="002636F4"/>
    <w:rsid w:val="0026671B"/>
    <w:rsid w:val="002705B4"/>
    <w:rsid w:val="00272DA5"/>
    <w:rsid w:val="002731E1"/>
    <w:rsid w:val="002858B3"/>
    <w:rsid w:val="002A73FC"/>
    <w:rsid w:val="002B5B19"/>
    <w:rsid w:val="002B6B6E"/>
    <w:rsid w:val="002D4556"/>
    <w:rsid w:val="002F5FD2"/>
    <w:rsid w:val="00312A5D"/>
    <w:rsid w:val="00317EC4"/>
    <w:rsid w:val="0032298E"/>
    <w:rsid w:val="00325C61"/>
    <w:rsid w:val="003379C2"/>
    <w:rsid w:val="00343AF8"/>
    <w:rsid w:val="003470ED"/>
    <w:rsid w:val="00380E3A"/>
    <w:rsid w:val="003871E2"/>
    <w:rsid w:val="003A0A1B"/>
    <w:rsid w:val="003A57B8"/>
    <w:rsid w:val="003F1EDF"/>
    <w:rsid w:val="00413EA3"/>
    <w:rsid w:val="00446CEE"/>
    <w:rsid w:val="00446F07"/>
    <w:rsid w:val="00457DB9"/>
    <w:rsid w:val="00466497"/>
    <w:rsid w:val="00466CC2"/>
    <w:rsid w:val="00476D2C"/>
    <w:rsid w:val="00492AE7"/>
    <w:rsid w:val="004C64D2"/>
    <w:rsid w:val="004D387E"/>
    <w:rsid w:val="004F6983"/>
    <w:rsid w:val="00503510"/>
    <w:rsid w:val="00505198"/>
    <w:rsid w:val="00507961"/>
    <w:rsid w:val="00515F46"/>
    <w:rsid w:val="00521300"/>
    <w:rsid w:val="00534C47"/>
    <w:rsid w:val="005F52A0"/>
    <w:rsid w:val="00634C7A"/>
    <w:rsid w:val="006378DE"/>
    <w:rsid w:val="00656482"/>
    <w:rsid w:val="006618B4"/>
    <w:rsid w:val="006652AD"/>
    <w:rsid w:val="00691B04"/>
    <w:rsid w:val="006953AB"/>
    <w:rsid w:val="006A19E8"/>
    <w:rsid w:val="006A3B49"/>
    <w:rsid w:val="006B216B"/>
    <w:rsid w:val="006C32F9"/>
    <w:rsid w:val="006C72F4"/>
    <w:rsid w:val="006D0C7B"/>
    <w:rsid w:val="006D20B2"/>
    <w:rsid w:val="006E389D"/>
    <w:rsid w:val="006E5C64"/>
    <w:rsid w:val="007111B0"/>
    <w:rsid w:val="007307F3"/>
    <w:rsid w:val="00730D58"/>
    <w:rsid w:val="0073135C"/>
    <w:rsid w:val="0074364F"/>
    <w:rsid w:val="00751EC6"/>
    <w:rsid w:val="00774713"/>
    <w:rsid w:val="00795FA6"/>
    <w:rsid w:val="007B6C29"/>
    <w:rsid w:val="007C368B"/>
    <w:rsid w:val="007D2814"/>
    <w:rsid w:val="007D7C9F"/>
    <w:rsid w:val="0082405F"/>
    <w:rsid w:val="00872BF2"/>
    <w:rsid w:val="00876C03"/>
    <w:rsid w:val="008974A5"/>
    <w:rsid w:val="008B2E7B"/>
    <w:rsid w:val="008E0D68"/>
    <w:rsid w:val="008E7610"/>
    <w:rsid w:val="008E76E7"/>
    <w:rsid w:val="008F4EED"/>
    <w:rsid w:val="00901CC6"/>
    <w:rsid w:val="00916E6F"/>
    <w:rsid w:val="00921340"/>
    <w:rsid w:val="00944B81"/>
    <w:rsid w:val="00951EB9"/>
    <w:rsid w:val="00965054"/>
    <w:rsid w:val="00977110"/>
    <w:rsid w:val="00994FB7"/>
    <w:rsid w:val="009B3671"/>
    <w:rsid w:val="009B47ED"/>
    <w:rsid w:val="009D302B"/>
    <w:rsid w:val="009D4BAC"/>
    <w:rsid w:val="00A30C36"/>
    <w:rsid w:val="00A32CF5"/>
    <w:rsid w:val="00A5141E"/>
    <w:rsid w:val="00A568B9"/>
    <w:rsid w:val="00A71CDB"/>
    <w:rsid w:val="00AA73D9"/>
    <w:rsid w:val="00AF7054"/>
    <w:rsid w:val="00B108A2"/>
    <w:rsid w:val="00B35E19"/>
    <w:rsid w:val="00B54721"/>
    <w:rsid w:val="00B61D57"/>
    <w:rsid w:val="00B739D3"/>
    <w:rsid w:val="00B9721C"/>
    <w:rsid w:val="00BA4D7F"/>
    <w:rsid w:val="00BA78DB"/>
    <w:rsid w:val="00BA7EF6"/>
    <w:rsid w:val="00BB16C9"/>
    <w:rsid w:val="00C01FD4"/>
    <w:rsid w:val="00C060C3"/>
    <w:rsid w:val="00C16F04"/>
    <w:rsid w:val="00C26A03"/>
    <w:rsid w:val="00C27282"/>
    <w:rsid w:val="00C36C2E"/>
    <w:rsid w:val="00C37091"/>
    <w:rsid w:val="00CC2C83"/>
    <w:rsid w:val="00CC45C7"/>
    <w:rsid w:val="00CD1AF2"/>
    <w:rsid w:val="00CE3D7D"/>
    <w:rsid w:val="00D10FD1"/>
    <w:rsid w:val="00D165E3"/>
    <w:rsid w:val="00D30C46"/>
    <w:rsid w:val="00D50151"/>
    <w:rsid w:val="00D619E7"/>
    <w:rsid w:val="00D76191"/>
    <w:rsid w:val="00D85033"/>
    <w:rsid w:val="00DA326F"/>
    <w:rsid w:val="00DB6931"/>
    <w:rsid w:val="00E324CF"/>
    <w:rsid w:val="00E34A15"/>
    <w:rsid w:val="00E45431"/>
    <w:rsid w:val="00E7220B"/>
    <w:rsid w:val="00EA4F61"/>
    <w:rsid w:val="00EB44A0"/>
    <w:rsid w:val="00EB7E61"/>
    <w:rsid w:val="00EC070B"/>
    <w:rsid w:val="00EC6FAB"/>
    <w:rsid w:val="00F5188E"/>
    <w:rsid w:val="00F53C0E"/>
    <w:rsid w:val="00F62863"/>
    <w:rsid w:val="00F8071D"/>
    <w:rsid w:val="00F80FBE"/>
    <w:rsid w:val="00F8774B"/>
    <w:rsid w:val="00FC0371"/>
    <w:rsid w:val="00FE2B25"/>
    <w:rsid w:val="00FE2DDB"/>
    <w:rsid w:val="0188664C"/>
    <w:rsid w:val="02A64E64"/>
    <w:rsid w:val="02E47C8A"/>
    <w:rsid w:val="048055BA"/>
    <w:rsid w:val="071D146C"/>
    <w:rsid w:val="0B5A1ED7"/>
    <w:rsid w:val="0C6D6428"/>
    <w:rsid w:val="0D2B1105"/>
    <w:rsid w:val="108233F1"/>
    <w:rsid w:val="10C54A40"/>
    <w:rsid w:val="12A27851"/>
    <w:rsid w:val="14620830"/>
    <w:rsid w:val="14F86038"/>
    <w:rsid w:val="15D9041A"/>
    <w:rsid w:val="16EF3AC8"/>
    <w:rsid w:val="177E65A3"/>
    <w:rsid w:val="1C6E443A"/>
    <w:rsid w:val="1CD045FC"/>
    <w:rsid w:val="1D4F1003"/>
    <w:rsid w:val="1F6E6595"/>
    <w:rsid w:val="22816122"/>
    <w:rsid w:val="24726C4F"/>
    <w:rsid w:val="2A5C17FF"/>
    <w:rsid w:val="2D1B3AA3"/>
    <w:rsid w:val="2E807F37"/>
    <w:rsid w:val="2EFD1203"/>
    <w:rsid w:val="2F987092"/>
    <w:rsid w:val="3060057B"/>
    <w:rsid w:val="31F27767"/>
    <w:rsid w:val="34112C8B"/>
    <w:rsid w:val="39DD2370"/>
    <w:rsid w:val="3BA44787"/>
    <w:rsid w:val="3C11164F"/>
    <w:rsid w:val="3DAD6AEB"/>
    <w:rsid w:val="3FF608E9"/>
    <w:rsid w:val="40024D7D"/>
    <w:rsid w:val="42534FF7"/>
    <w:rsid w:val="43A40440"/>
    <w:rsid w:val="44865243"/>
    <w:rsid w:val="4641590B"/>
    <w:rsid w:val="47C40B28"/>
    <w:rsid w:val="493D70D8"/>
    <w:rsid w:val="4A1819E5"/>
    <w:rsid w:val="4A5B1412"/>
    <w:rsid w:val="4AF2130F"/>
    <w:rsid w:val="4B435C02"/>
    <w:rsid w:val="4CEC7ECD"/>
    <w:rsid w:val="4D2E27FB"/>
    <w:rsid w:val="4FC41A93"/>
    <w:rsid w:val="527D15B4"/>
    <w:rsid w:val="5B493004"/>
    <w:rsid w:val="606F1470"/>
    <w:rsid w:val="609756E6"/>
    <w:rsid w:val="61A73AD5"/>
    <w:rsid w:val="61E6050F"/>
    <w:rsid w:val="62344060"/>
    <w:rsid w:val="62B952F6"/>
    <w:rsid w:val="6477218E"/>
    <w:rsid w:val="697A41BF"/>
    <w:rsid w:val="69C44DAE"/>
    <w:rsid w:val="729B1F2F"/>
    <w:rsid w:val="73A31E01"/>
    <w:rsid w:val="74C672D5"/>
    <w:rsid w:val="74E91D04"/>
    <w:rsid w:val="755D07B9"/>
    <w:rsid w:val="75DB1FCB"/>
    <w:rsid w:val="791628F2"/>
    <w:rsid w:val="7B3B229C"/>
    <w:rsid w:val="7B8B5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8"/>
    <w:qFormat/>
    <w:uiPriority w:val="0"/>
    <w:pPr>
      <w:snapToGrid w:val="0"/>
      <w:jc w:val="left"/>
    </w:pPr>
    <w:rPr>
      <w:sz w:val="18"/>
      <w:szCs w:val="18"/>
    </w:rPr>
  </w:style>
  <w:style w:type="paragraph" w:styleId="8">
    <w:name w:val="Normal (Web)"/>
    <w:basedOn w:val="1"/>
    <w:semiHidden/>
    <w:unhideWhenUsed/>
    <w:qFormat/>
    <w:uiPriority w:val="99"/>
    <w:pPr>
      <w:spacing w:beforeAutospacing="1" w:afterAutospacing="1"/>
      <w:jc w:val="left"/>
    </w:pPr>
    <w:rPr>
      <w:kern w:val="0"/>
      <w:sz w:val="24"/>
    </w:rPr>
  </w:style>
  <w:style w:type="character" w:styleId="11">
    <w:name w:val="Strong"/>
    <w:basedOn w:val="10"/>
    <w:qFormat/>
    <w:uiPriority w:val="0"/>
    <w:rPr>
      <w:b/>
      <w:bCs/>
    </w:rPr>
  </w:style>
  <w:style w:type="character" w:customStyle="1" w:styleId="12">
    <w:name w:val="页眉 字符"/>
    <w:basedOn w:val="10"/>
    <w:link w:val="6"/>
    <w:qFormat/>
    <w:uiPriority w:val="99"/>
    <w:rPr>
      <w:rFonts w:ascii="Times New Roman" w:hAnsi="Times New Roman" w:eastAsia="仿宋_GB2312" w:cs="Times New Roman"/>
      <w:sz w:val="18"/>
      <w:szCs w:val="18"/>
    </w:rPr>
  </w:style>
  <w:style w:type="character" w:customStyle="1" w:styleId="13">
    <w:name w:val="页脚 字符"/>
    <w:basedOn w:val="10"/>
    <w:link w:val="5"/>
    <w:qFormat/>
    <w:uiPriority w:val="99"/>
    <w:rPr>
      <w:rFonts w:ascii="Times New Roman" w:hAnsi="Times New Roman" w:eastAsia="仿宋_GB2312" w:cs="Times New Roman"/>
      <w:sz w:val="18"/>
      <w:szCs w:val="18"/>
    </w:rPr>
  </w:style>
  <w:style w:type="paragraph" w:styleId="14">
    <w:name w:val="List Paragraph"/>
    <w:basedOn w:val="1"/>
    <w:qFormat/>
    <w:uiPriority w:val="34"/>
    <w:pPr>
      <w:ind w:firstLine="420" w:firstLineChars="200"/>
    </w:pPr>
  </w:style>
  <w:style w:type="character" w:customStyle="1" w:styleId="15">
    <w:name w:val="标题 1 字符"/>
    <w:basedOn w:val="10"/>
    <w:link w:val="2"/>
    <w:qFormat/>
    <w:uiPriority w:val="9"/>
    <w:rPr>
      <w:rFonts w:ascii="Times New Roman" w:hAnsi="Times New Roman" w:eastAsia="仿宋_GB2312" w:cs="Times New Roman"/>
      <w:b/>
      <w:bCs/>
      <w:kern w:val="44"/>
      <w:sz w:val="44"/>
      <w:szCs w:val="44"/>
    </w:rPr>
  </w:style>
  <w:style w:type="character" w:customStyle="1" w:styleId="16">
    <w:name w:val="标题 2 字符"/>
    <w:basedOn w:val="10"/>
    <w:link w:val="3"/>
    <w:qFormat/>
    <w:uiPriority w:val="9"/>
    <w:rPr>
      <w:rFonts w:asciiTheme="majorHAnsi" w:hAnsiTheme="majorHAnsi" w:eastAsiaTheme="majorEastAsia" w:cstheme="majorBidi"/>
      <w:b/>
      <w:bCs/>
      <w:kern w:val="2"/>
      <w:sz w:val="32"/>
      <w:szCs w:val="32"/>
    </w:rPr>
  </w:style>
  <w:style w:type="character" w:customStyle="1" w:styleId="17">
    <w:name w:val="标题 3 字符"/>
    <w:basedOn w:val="10"/>
    <w:link w:val="4"/>
    <w:semiHidden/>
    <w:qFormat/>
    <w:uiPriority w:val="9"/>
    <w:rPr>
      <w:rFonts w:ascii="Times New Roman" w:hAnsi="Times New Roman" w:eastAsia="仿宋_GB2312" w:cs="Times New Roman"/>
      <w:b/>
      <w:bCs/>
      <w:kern w:val="2"/>
      <w:sz w:val="32"/>
      <w:szCs w:val="32"/>
    </w:rPr>
  </w:style>
  <w:style w:type="character" w:customStyle="1" w:styleId="18">
    <w:name w:val="脚注文本 字符"/>
    <w:basedOn w:val="10"/>
    <w:link w:val="7"/>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21</Pages>
  <Words>9104</Words>
  <Characters>9588</Characters>
  <Lines>87</Lines>
  <Paragraphs>24</Paragraphs>
  <TotalTime>1</TotalTime>
  <ScaleCrop>false</ScaleCrop>
  <LinksUpToDate>false</LinksUpToDate>
  <CharactersWithSpaces>9630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2020-03-27T10:27:00Z</dcterms:created>
  <dc:creator>闫超</dc:creator>
  <cp:lastModifiedBy>哎呦喂</cp:lastModifiedBy>
  <dcterms:modified xsi:type="dcterms:W3CDTF">2024-12-27T05:58:46Z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eyJoZGlkIjoiMzEwNTM5NzYwMDRjMzkwZTVkZjY2ODkwMGIxNGU0OTUiLCJ1c2VySWQiOiIxMTcxMDQ1MzEwIn0=</vt:lpwstr>
  </property>
  <property fmtid="{D5CDD505-2E9C-101B-9397-08002B2CF9AE}" pid="4" name="ICV">
    <vt:lpwstr>D983CAF96ADA4DB39809FDEC24DBA803_12</vt:lpwstr>
  </property>
</Properties>
</file>